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B91B7" w14:textId="4B0958D6" w:rsidR="00EC1156" w:rsidRPr="00EC1156" w:rsidRDefault="00EC1156" w:rsidP="00EC1156">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DB3CF8">
        <w:rPr>
          <w:rFonts w:ascii="Arial" w:hAnsi="Arial"/>
          <w:b/>
          <w:kern w:val="0"/>
          <w:sz w:val="24"/>
          <w:lang w:val="en-US" w:eastAsia="zh-CN"/>
          <w14:ligatures w14:val="none"/>
        </w:rPr>
        <w:t xml:space="preserve"> WG</w:t>
      </w:r>
      <w:r w:rsidR="00FC2579">
        <w:rPr>
          <w:rFonts w:ascii="Arial" w:hAnsi="Arial"/>
          <w:b/>
          <w:kern w:val="0"/>
          <w:sz w:val="24"/>
          <w:lang w:val="en-US" w:eastAsia="zh-CN"/>
          <w14:ligatures w14:val="none"/>
        </w:rPr>
        <w:t>4</w:t>
      </w:r>
      <w:r w:rsidRPr="00EC1156">
        <w:rPr>
          <w:rFonts w:ascii="Arial" w:hAnsi="Arial"/>
          <w:b/>
          <w:kern w:val="0"/>
          <w:sz w:val="24"/>
          <w:lang w:val="en-US" w:eastAsia="zh-CN"/>
          <w14:ligatures w14:val="none"/>
        </w:rPr>
        <w:t xml:space="preserve"> Meeting #</w:t>
      </w:r>
      <w:r w:rsidR="00DB3CF8">
        <w:rPr>
          <w:rFonts w:ascii="Arial" w:hAnsi="Arial"/>
          <w:b/>
          <w:kern w:val="0"/>
          <w:sz w:val="24"/>
          <w:lang w:val="en-US" w:eastAsia="zh-CN"/>
          <w14:ligatures w14:val="none"/>
        </w:rPr>
        <w:t>11</w:t>
      </w:r>
      <w:r w:rsidR="007529F7">
        <w:rPr>
          <w:rFonts w:ascii="Arial" w:hAnsi="Arial"/>
          <w:b/>
          <w:kern w:val="0"/>
          <w:sz w:val="24"/>
          <w:lang w:val="en-US" w:eastAsia="zh-CN"/>
          <w14:ligatures w14:val="none"/>
        </w:rPr>
        <w:t>2</w:t>
      </w:r>
      <w:r w:rsidRPr="00EC1156">
        <w:rPr>
          <w:rFonts w:ascii="Arial" w:hAnsi="Arial"/>
          <w:b/>
          <w:kern w:val="0"/>
          <w:sz w:val="24"/>
          <w:lang w:val="en-US" w:eastAsia="zh-CN"/>
          <w14:ligatures w14:val="none"/>
        </w:rPr>
        <w:tab/>
      </w:r>
      <w:r w:rsidR="0063097C" w:rsidRPr="0063097C">
        <w:rPr>
          <w:rFonts w:ascii="Arial" w:hAnsi="Arial"/>
          <w:b/>
          <w:kern w:val="0"/>
          <w:sz w:val="24"/>
          <w:lang w:val="en-US" w:eastAsia="zh-CN"/>
          <w14:ligatures w14:val="none"/>
        </w:rPr>
        <w:t>R4-24</w:t>
      </w:r>
      <w:r w:rsidR="004C5396">
        <w:rPr>
          <w:rFonts w:ascii="Arial" w:hAnsi="Arial"/>
          <w:b/>
          <w:kern w:val="0"/>
          <w:sz w:val="24"/>
          <w:lang w:val="en-US" w:eastAsia="zh-CN"/>
          <w14:ligatures w14:val="none"/>
        </w:rPr>
        <w:t>12993</w:t>
      </w:r>
    </w:p>
    <w:p w14:paraId="1173C75E" w14:textId="19E5356E" w:rsidR="00EC1156" w:rsidRPr="00EC1156" w:rsidRDefault="007529F7" w:rsidP="00EC1156">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Maastricht</w:t>
      </w:r>
      <w:r w:rsidR="008A1AC6">
        <w:rPr>
          <w:rFonts w:ascii="Arial" w:hAnsi="Arial"/>
          <w:b/>
          <w:kern w:val="0"/>
          <w:sz w:val="24"/>
          <w:lang w:eastAsia="zh-CN"/>
          <w14:ligatures w14:val="none"/>
        </w:rPr>
        <w:t xml:space="preserve">, </w:t>
      </w:r>
      <w:r>
        <w:rPr>
          <w:rFonts w:ascii="Arial" w:hAnsi="Arial"/>
          <w:b/>
          <w:kern w:val="0"/>
          <w:sz w:val="24"/>
          <w:lang w:eastAsia="zh-CN"/>
          <w14:ligatures w14:val="none"/>
        </w:rPr>
        <w:t>Netherlands</w:t>
      </w:r>
      <w:r w:rsidR="00094EEA">
        <w:rPr>
          <w:rFonts w:ascii="Arial" w:hAnsi="Arial"/>
          <w:b/>
          <w:kern w:val="0"/>
          <w:sz w:val="24"/>
          <w:lang w:eastAsia="zh-CN"/>
          <w14:ligatures w14:val="none"/>
        </w:rPr>
        <w:t>,</w:t>
      </w:r>
      <w:r w:rsidR="00EC1156" w:rsidRPr="00EC1156">
        <w:rPr>
          <w:rFonts w:ascii="Arial" w:hAnsi="Arial"/>
          <w:b/>
          <w:kern w:val="0"/>
          <w:sz w:val="24"/>
          <w:lang w:eastAsia="zh-CN"/>
          <w14:ligatures w14:val="none"/>
        </w:rPr>
        <w:t xml:space="preserve"> </w:t>
      </w:r>
      <w:r>
        <w:rPr>
          <w:rFonts w:ascii="Arial" w:hAnsi="Arial"/>
          <w:b/>
          <w:kern w:val="0"/>
          <w:sz w:val="24"/>
          <w:lang w:eastAsia="zh-CN"/>
          <w14:ligatures w14:val="none"/>
        </w:rPr>
        <w:t>19</w:t>
      </w:r>
      <w:r w:rsidRPr="007529F7">
        <w:rPr>
          <w:rFonts w:ascii="Arial" w:hAnsi="Arial"/>
          <w:b/>
          <w:kern w:val="0"/>
          <w:sz w:val="24"/>
          <w:vertAlign w:val="superscript"/>
          <w:lang w:eastAsia="zh-CN"/>
          <w14:ligatures w14:val="none"/>
        </w:rPr>
        <w:t>th</w:t>
      </w:r>
      <w:r>
        <w:rPr>
          <w:rFonts w:ascii="Arial" w:hAnsi="Arial"/>
          <w:b/>
          <w:kern w:val="0"/>
          <w:sz w:val="24"/>
          <w:lang w:eastAsia="zh-CN"/>
          <w14:ligatures w14:val="none"/>
        </w:rPr>
        <w:t xml:space="preserve"> – 23</w:t>
      </w:r>
      <w:r w:rsidRPr="007529F7">
        <w:rPr>
          <w:rFonts w:ascii="Arial" w:hAnsi="Arial"/>
          <w:b/>
          <w:kern w:val="0"/>
          <w:sz w:val="24"/>
          <w:vertAlign w:val="superscript"/>
          <w:lang w:eastAsia="zh-CN"/>
          <w14:ligatures w14:val="none"/>
        </w:rPr>
        <w:t>rd</w:t>
      </w:r>
      <w:r>
        <w:rPr>
          <w:rFonts w:ascii="Arial" w:hAnsi="Arial"/>
          <w:b/>
          <w:kern w:val="0"/>
          <w:sz w:val="24"/>
          <w:lang w:eastAsia="zh-CN"/>
          <w14:ligatures w14:val="none"/>
        </w:rPr>
        <w:t xml:space="preserve"> August</w:t>
      </w:r>
      <w:r w:rsidR="008A1AC6">
        <w:rPr>
          <w:rFonts w:ascii="Arial" w:hAnsi="Arial"/>
          <w:b/>
          <w:kern w:val="0"/>
          <w:sz w:val="24"/>
          <w:lang w:eastAsia="zh-CN"/>
          <w14:ligatures w14:val="none"/>
        </w:rPr>
        <w:t xml:space="preserve"> </w:t>
      </w:r>
      <w:r w:rsidR="00EC1156" w:rsidRPr="00EC1156">
        <w:rPr>
          <w:rFonts w:ascii="Arial" w:hAnsi="Arial"/>
          <w:b/>
          <w:kern w:val="0"/>
          <w:sz w:val="24"/>
          <w:lang w:eastAsia="zh-CN"/>
          <w14:ligatures w14:val="none"/>
        </w:rPr>
        <w:t>202</w:t>
      </w:r>
      <w:r w:rsidR="008A1AC6">
        <w:rPr>
          <w:rFonts w:ascii="Arial" w:hAnsi="Arial"/>
          <w:b/>
          <w:kern w:val="0"/>
          <w:sz w:val="24"/>
          <w:lang w:eastAsia="zh-CN"/>
          <w14:ligatures w14:val="none"/>
        </w:rPr>
        <w:t>4</w:t>
      </w:r>
    </w:p>
    <w:p w14:paraId="4424899E" w14:textId="3AEB3979" w:rsidR="00EC1156" w:rsidRDefault="00EC1156" w:rsidP="00EC1156">
      <w:pPr>
        <w:pStyle w:val="3GPPHeader"/>
        <w:jc w:val="left"/>
        <w:rPr>
          <w:sz w:val="22"/>
          <w:lang w:val="en-GB"/>
        </w:rPr>
      </w:pPr>
      <w:r>
        <w:rPr>
          <w:sz w:val="22"/>
          <w:lang w:val="en-GB"/>
        </w:rPr>
        <w:t>Agenda Item:</w:t>
      </w:r>
      <w:r>
        <w:rPr>
          <w:sz w:val="22"/>
          <w:lang w:val="en-GB"/>
        </w:rPr>
        <w:tab/>
      </w:r>
      <w:bookmarkStart w:id="0" w:name="_Hlk158881638"/>
      <w:r w:rsidR="00A815FD" w:rsidRPr="00B2193C">
        <w:rPr>
          <w:sz w:val="22"/>
          <w:lang w:val="en-GB"/>
        </w:rPr>
        <w:t>8.</w:t>
      </w:r>
      <w:bookmarkEnd w:id="0"/>
      <w:r w:rsidR="004C5396">
        <w:rPr>
          <w:sz w:val="22"/>
          <w:lang w:val="en-GB"/>
        </w:rPr>
        <w:t xml:space="preserve">9.2 - </w:t>
      </w:r>
      <w:r w:rsidR="004C5396" w:rsidRPr="004C5396">
        <w:rPr>
          <w:sz w:val="22"/>
          <w:lang w:val="en-GB"/>
        </w:rPr>
        <w:t>Coexistence study based on ITU regulations</w:t>
      </w:r>
    </w:p>
    <w:p w14:paraId="48C05454" w14:textId="4F23CCF9" w:rsidR="00EC1156" w:rsidRDefault="00EC1156" w:rsidP="00EC1156">
      <w:pPr>
        <w:pStyle w:val="3GPPHeader"/>
        <w:jc w:val="left"/>
        <w:rPr>
          <w:sz w:val="22"/>
          <w:lang w:val="en-GB"/>
        </w:rPr>
      </w:pPr>
      <w:r>
        <w:rPr>
          <w:sz w:val="22"/>
          <w:lang w:val="en-GB"/>
        </w:rPr>
        <w:t>Source:</w:t>
      </w:r>
      <w:r>
        <w:rPr>
          <w:sz w:val="22"/>
          <w:lang w:val="en-GB"/>
        </w:rPr>
        <w:tab/>
        <w:t>Eutelsat</w:t>
      </w:r>
      <w:r w:rsidR="00255407">
        <w:rPr>
          <w:sz w:val="22"/>
          <w:lang w:val="en-GB"/>
        </w:rPr>
        <w:t xml:space="preserve"> Group</w:t>
      </w:r>
    </w:p>
    <w:p w14:paraId="157003DE" w14:textId="3563D8C3" w:rsidR="00EC1156" w:rsidRDefault="00EC1156" w:rsidP="00EC1156">
      <w:pPr>
        <w:pStyle w:val="3GPPHeader"/>
        <w:jc w:val="left"/>
        <w:rPr>
          <w:sz w:val="22"/>
          <w:lang w:val="en-GB"/>
        </w:rPr>
      </w:pPr>
      <w:r>
        <w:rPr>
          <w:sz w:val="22"/>
          <w:lang w:val="en-GB"/>
        </w:rPr>
        <w:t>Title:</w:t>
      </w:r>
      <w:r>
        <w:rPr>
          <w:sz w:val="22"/>
          <w:lang w:val="en-GB"/>
        </w:rPr>
        <w:tab/>
      </w:r>
      <w:r w:rsidR="00EB525F">
        <w:rPr>
          <w:sz w:val="22"/>
          <w:lang w:val="en-GB"/>
        </w:rPr>
        <w:t xml:space="preserve">Regulatory </w:t>
      </w:r>
      <w:r w:rsidR="001112CA">
        <w:rPr>
          <w:sz w:val="22"/>
          <w:lang w:val="en-GB"/>
        </w:rPr>
        <w:t>s</w:t>
      </w:r>
      <w:r w:rsidR="00EB525F">
        <w:rPr>
          <w:sz w:val="22"/>
          <w:lang w:val="en-GB"/>
        </w:rPr>
        <w:t xml:space="preserve">tatus of </w:t>
      </w:r>
      <w:r w:rsidR="008D4B4B" w:rsidRPr="008D4B4B">
        <w:rPr>
          <w:sz w:val="22"/>
          <w:lang w:val="en-GB"/>
        </w:rPr>
        <w:t>NTN in bands above 10</w:t>
      </w:r>
      <w:r w:rsidR="00EE20F8">
        <w:rPr>
          <w:sz w:val="22"/>
          <w:lang w:val="en-GB"/>
        </w:rPr>
        <w:t xml:space="preserve"> </w:t>
      </w:r>
      <w:r w:rsidR="008D4B4B" w:rsidRPr="008D4B4B">
        <w:rPr>
          <w:sz w:val="22"/>
          <w:lang w:val="en-GB"/>
        </w:rPr>
        <w:t>GHz</w:t>
      </w:r>
      <w:r w:rsidR="00CA1D38">
        <w:rPr>
          <w:sz w:val="22"/>
          <w:lang w:val="en-GB"/>
        </w:rPr>
        <w:t xml:space="preserve"> </w:t>
      </w:r>
      <w:r w:rsidR="00EB525F">
        <w:rPr>
          <w:sz w:val="22"/>
          <w:lang w:val="en-GB"/>
        </w:rPr>
        <w:t>post WRC</w:t>
      </w:r>
      <w:r w:rsidR="00250D36">
        <w:rPr>
          <w:sz w:val="22"/>
          <w:lang w:val="en-GB"/>
        </w:rPr>
        <w:t>-</w:t>
      </w:r>
      <w:r w:rsidR="00EB525F">
        <w:rPr>
          <w:sz w:val="22"/>
          <w:lang w:val="en-GB"/>
        </w:rPr>
        <w:t>23</w:t>
      </w:r>
    </w:p>
    <w:p w14:paraId="05511DF7" w14:textId="15852950" w:rsidR="00EC1156" w:rsidRDefault="00EC1156" w:rsidP="00EC1156">
      <w:pPr>
        <w:pStyle w:val="3GPPHeader"/>
        <w:jc w:val="left"/>
        <w:rPr>
          <w:sz w:val="22"/>
          <w:lang w:val="en-GB"/>
        </w:rPr>
      </w:pPr>
      <w:r>
        <w:rPr>
          <w:sz w:val="22"/>
          <w:lang w:val="en-GB"/>
        </w:rPr>
        <w:t>Document for:</w:t>
      </w:r>
      <w:r>
        <w:rPr>
          <w:sz w:val="22"/>
          <w:lang w:val="en-GB"/>
        </w:rPr>
        <w:tab/>
        <w:t>Information</w:t>
      </w:r>
    </w:p>
    <w:p w14:paraId="21ACEB28" w14:textId="6C754D74" w:rsidR="00E26FA0" w:rsidRDefault="00EB525F" w:rsidP="00EC1156">
      <w:pPr>
        <w:pStyle w:val="Heading1"/>
        <w:spacing w:before="120" w:after="0"/>
      </w:pPr>
      <w:r>
        <w:t>Introduction</w:t>
      </w:r>
    </w:p>
    <w:p w14:paraId="4D3EF39D" w14:textId="1611914A" w:rsidR="004C5396" w:rsidRDefault="004C5396" w:rsidP="004C5396">
      <w:pPr>
        <w:rPr>
          <w:lang w:eastAsia="ja-JP"/>
        </w:rPr>
      </w:pPr>
      <w:r>
        <w:rPr>
          <w:lang w:eastAsia="ja-JP"/>
        </w:rPr>
        <w:t xml:space="preserve">This is an update of </w:t>
      </w:r>
      <w:r w:rsidR="007529F7">
        <w:rPr>
          <w:lang w:eastAsia="ja-JP"/>
        </w:rPr>
        <w:t>[1]</w:t>
      </w:r>
      <w:r>
        <w:rPr>
          <w:lang w:eastAsia="ja-JP"/>
        </w:rPr>
        <w:t xml:space="preserve"> submitted to RAN4 #110 but not treated.</w:t>
      </w:r>
    </w:p>
    <w:p w14:paraId="2CC48F2A" w14:textId="203E3A13" w:rsidR="00EB525F" w:rsidRDefault="00EB525F" w:rsidP="00D8431D">
      <w:pPr>
        <w:rPr>
          <w:lang w:eastAsia="ja-JP"/>
        </w:rPr>
      </w:pPr>
      <w:r>
        <w:rPr>
          <w:lang w:eastAsia="ja-JP"/>
        </w:rPr>
        <w:t>Th</w:t>
      </w:r>
      <w:r w:rsidR="00291EF1">
        <w:rPr>
          <w:lang w:eastAsia="ja-JP"/>
        </w:rPr>
        <w:t>e</w:t>
      </w:r>
      <w:r>
        <w:rPr>
          <w:lang w:eastAsia="ja-JP"/>
        </w:rPr>
        <w:t xml:space="preserve"> </w:t>
      </w:r>
      <w:r w:rsidR="00291EF1">
        <w:rPr>
          <w:lang w:eastAsia="ja-JP"/>
        </w:rPr>
        <w:t xml:space="preserve">present document </w:t>
      </w:r>
      <w:r>
        <w:rPr>
          <w:lang w:eastAsia="ja-JP"/>
        </w:rPr>
        <w:t xml:space="preserve">provides the regulatory status of </w:t>
      </w:r>
      <w:r w:rsidR="00D8431D">
        <w:rPr>
          <w:lang w:eastAsia="ja-JP"/>
        </w:rPr>
        <w:t>bands above 10</w:t>
      </w:r>
      <w:r w:rsidR="00333DB8">
        <w:rPr>
          <w:lang w:eastAsia="ja-JP"/>
        </w:rPr>
        <w:t xml:space="preserve"> </w:t>
      </w:r>
      <w:r w:rsidR="00D8431D">
        <w:rPr>
          <w:lang w:eastAsia="ja-JP"/>
        </w:rPr>
        <w:t xml:space="preserve">GHz applicable to NTN, incorporating outcomes of the </w:t>
      </w:r>
      <w:r>
        <w:rPr>
          <w:lang w:eastAsia="ja-JP"/>
        </w:rPr>
        <w:t>WRC</w:t>
      </w:r>
      <w:r w:rsidR="00291EF1">
        <w:rPr>
          <w:lang w:eastAsia="ja-JP"/>
        </w:rPr>
        <w:t>-</w:t>
      </w:r>
      <w:r>
        <w:rPr>
          <w:lang w:eastAsia="ja-JP"/>
        </w:rPr>
        <w:t xml:space="preserve">23 </w:t>
      </w:r>
      <w:r w:rsidR="00291EF1">
        <w:rPr>
          <w:lang w:eastAsia="ja-JP"/>
        </w:rPr>
        <w:t xml:space="preserve">ITU conference </w:t>
      </w:r>
      <w:r>
        <w:rPr>
          <w:lang w:eastAsia="ja-JP"/>
        </w:rPr>
        <w:t>in December 2023</w:t>
      </w:r>
      <w:r w:rsidR="00D8431D">
        <w:rPr>
          <w:lang w:eastAsia="ja-JP"/>
        </w:rPr>
        <w:t xml:space="preserve">. </w:t>
      </w:r>
      <w:r w:rsidR="00333DB8">
        <w:rPr>
          <w:lang w:eastAsia="ja-JP"/>
        </w:rPr>
        <w:t xml:space="preserve">WRC-23 </w:t>
      </w:r>
      <w:r w:rsidR="00D8431D">
        <w:rPr>
          <w:lang w:eastAsia="ja-JP"/>
        </w:rPr>
        <w:t>added mobile VSAT to the Ka band</w:t>
      </w:r>
      <w:r w:rsidR="003D51B4">
        <w:rPr>
          <w:lang w:eastAsia="ja-JP"/>
        </w:rPr>
        <w:t xml:space="preserve"> (17.7 - 30.0 GHz)</w:t>
      </w:r>
      <w:r w:rsidR="00D8431D">
        <w:rPr>
          <w:lang w:eastAsia="ja-JP"/>
        </w:rPr>
        <w:t xml:space="preserve">, and </w:t>
      </w:r>
      <w:r w:rsidR="008D0FD6">
        <w:rPr>
          <w:lang w:eastAsia="ja-JP"/>
        </w:rPr>
        <w:t>re-enforced the global consensus for continued priority for satellite operation in the Ku band</w:t>
      </w:r>
      <w:r w:rsidR="003D51B4">
        <w:rPr>
          <w:lang w:eastAsia="ja-JP"/>
        </w:rPr>
        <w:t xml:space="preserve"> (10.7 -14.5 GHz)</w:t>
      </w:r>
      <w:r w:rsidR="008D0FD6">
        <w:rPr>
          <w:lang w:eastAsia="ja-JP"/>
        </w:rPr>
        <w:t>.</w:t>
      </w:r>
    </w:p>
    <w:p w14:paraId="6C2DA9E5" w14:textId="0C0E3998" w:rsidR="00F66B38" w:rsidRDefault="00F66B38" w:rsidP="00D8431D">
      <w:pPr>
        <w:pStyle w:val="Heading1"/>
      </w:pPr>
      <w:r>
        <w:t xml:space="preserve">Ka </w:t>
      </w:r>
      <w:r w:rsidR="00D8431D">
        <w:t xml:space="preserve">band </w:t>
      </w:r>
      <w:r w:rsidR="00640D8F">
        <w:t>17.7 – 30.0 GHz</w:t>
      </w:r>
    </w:p>
    <w:p w14:paraId="17498DF8" w14:textId="2A2AE8E3" w:rsidR="00640D8F" w:rsidRDefault="00D8431D" w:rsidP="003D51B4">
      <w:pPr>
        <w:rPr>
          <w:lang w:eastAsia="ja-JP"/>
        </w:rPr>
      </w:pPr>
      <w:r>
        <w:rPr>
          <w:lang w:eastAsia="ja-JP"/>
        </w:rPr>
        <w:t xml:space="preserve">The </w:t>
      </w:r>
      <w:r w:rsidR="004C5396">
        <w:rPr>
          <w:lang w:eastAsia="ja-JP"/>
        </w:rPr>
        <w:t xml:space="preserve">now </w:t>
      </w:r>
      <w:r>
        <w:rPr>
          <w:lang w:eastAsia="ja-JP"/>
        </w:rPr>
        <w:t>complete</w:t>
      </w:r>
      <w:r w:rsidR="004C5396">
        <w:rPr>
          <w:lang w:eastAsia="ja-JP"/>
        </w:rPr>
        <w:t>d</w:t>
      </w:r>
      <w:r>
        <w:rPr>
          <w:lang w:eastAsia="ja-JP"/>
        </w:rPr>
        <w:t xml:space="preserve"> Rel-18 specifications for NTN </w:t>
      </w:r>
      <w:r w:rsidR="003D51B4">
        <w:rPr>
          <w:lang w:eastAsia="ja-JP"/>
        </w:rPr>
        <w:t xml:space="preserve">in bands </w:t>
      </w:r>
      <w:r>
        <w:rPr>
          <w:lang w:eastAsia="ja-JP"/>
        </w:rPr>
        <w:t>above 10 GHz cover deployment requirements and use cases for the Ka band within the scope of the ITU-R following WRC-19</w:t>
      </w:r>
      <w:r w:rsidR="00CB7414">
        <w:rPr>
          <w:lang w:eastAsia="ja-JP"/>
        </w:rPr>
        <w:t xml:space="preserve">. </w:t>
      </w:r>
      <w:r w:rsidR="004C5396">
        <w:rPr>
          <w:lang w:eastAsia="ja-JP"/>
        </w:rPr>
        <w:t xml:space="preserve">The NTN WI </w:t>
      </w:r>
      <w:r w:rsidR="00CB7414">
        <w:rPr>
          <w:lang w:eastAsia="ja-JP"/>
        </w:rPr>
        <w:t xml:space="preserve">did not </w:t>
      </w:r>
      <w:r w:rsidR="004C5396">
        <w:rPr>
          <w:lang w:eastAsia="ja-JP"/>
        </w:rPr>
        <w:t xml:space="preserve">include connectivity to </w:t>
      </w:r>
      <w:r w:rsidR="00CB7414">
        <w:rPr>
          <w:lang w:eastAsia="ja-JP"/>
        </w:rPr>
        <w:t xml:space="preserve">what the ITU-R terms as </w:t>
      </w:r>
      <w:r>
        <w:rPr>
          <w:lang w:eastAsia="ja-JP"/>
        </w:rPr>
        <w:t>non-GSO ESIM</w:t>
      </w:r>
      <w:r w:rsidR="003D51B4">
        <w:rPr>
          <w:lang w:eastAsia="ja-JP"/>
        </w:rPr>
        <w:t xml:space="preserve"> (Earth Stat</w:t>
      </w:r>
      <w:r w:rsidR="00640D8F">
        <w:rPr>
          <w:lang w:eastAsia="ja-JP"/>
        </w:rPr>
        <w:t>ion In Motion)</w:t>
      </w:r>
      <w:r w:rsidR="00CB7414">
        <w:rPr>
          <w:lang w:eastAsia="ja-JP"/>
        </w:rPr>
        <w:t xml:space="preserve"> – which 3GPP refer to as </w:t>
      </w:r>
      <w:r w:rsidR="004C5396">
        <w:rPr>
          <w:lang w:eastAsia="ja-JP"/>
        </w:rPr>
        <w:t xml:space="preserve">connectivity between a </w:t>
      </w:r>
      <w:r w:rsidR="00CB7414">
        <w:rPr>
          <w:lang w:eastAsia="ja-JP"/>
        </w:rPr>
        <w:t>mobile VSAT</w:t>
      </w:r>
      <w:r w:rsidR="004C5396">
        <w:rPr>
          <w:lang w:eastAsia="ja-JP"/>
        </w:rPr>
        <w:t xml:space="preserve"> and NGSO satellite (e.g. LEO, MEO).</w:t>
      </w:r>
      <w:r w:rsidR="00CB7414">
        <w:rPr>
          <w:lang w:eastAsia="ja-JP"/>
        </w:rPr>
        <w:t xml:space="preserve"> </w:t>
      </w:r>
    </w:p>
    <w:p w14:paraId="7016C09B" w14:textId="4B35167E" w:rsidR="00D8431D" w:rsidRDefault="00640D8F" w:rsidP="00640D8F">
      <w:pPr>
        <w:rPr>
          <w:lang w:eastAsia="ja-JP"/>
        </w:rPr>
      </w:pPr>
      <w:r>
        <w:rPr>
          <w:lang w:eastAsia="ja-JP"/>
        </w:rPr>
        <w:t xml:space="preserve">Non-GSO ESIM in Ka </w:t>
      </w:r>
      <w:r w:rsidR="003D51B4">
        <w:rPr>
          <w:lang w:eastAsia="ja-JP"/>
        </w:rPr>
        <w:t xml:space="preserve">was reviewed </w:t>
      </w:r>
      <w:r w:rsidR="00D8431D">
        <w:rPr>
          <w:lang w:eastAsia="ja-JP"/>
        </w:rPr>
        <w:t>at WRC-23 under agenda item 1.16</w:t>
      </w:r>
      <w:r w:rsidR="00CB7414">
        <w:rPr>
          <w:lang w:eastAsia="ja-JP"/>
        </w:rPr>
        <w:t xml:space="preserve"> and r</w:t>
      </w:r>
      <w:r w:rsidR="00D8431D">
        <w:rPr>
          <w:lang w:eastAsia="ja-JP"/>
        </w:rPr>
        <w:t>esolution COM5/3 (WRC-23)</w:t>
      </w:r>
      <w:r w:rsidR="003D51B4">
        <w:rPr>
          <w:lang w:eastAsia="ja-JP"/>
        </w:rPr>
        <w:t xml:space="preserve"> updates u</w:t>
      </w:r>
      <w:r w:rsidR="00D8431D">
        <w:rPr>
          <w:lang w:eastAsia="ja-JP"/>
        </w:rPr>
        <w:t>se of the frequency bands 17.7-18.6 GHz, 18.8-19.3 GHz</w:t>
      </w:r>
      <w:r w:rsidR="003D51B4">
        <w:rPr>
          <w:lang w:eastAsia="ja-JP"/>
        </w:rPr>
        <w:t xml:space="preserve">, </w:t>
      </w:r>
      <w:r w:rsidR="00D8431D">
        <w:rPr>
          <w:lang w:eastAsia="ja-JP"/>
        </w:rPr>
        <w:t>19.7-20.2 GHz (space-to-Earth) and 27.5-29.1 GHz and 29.5-30 GHz (Earth-to-space)</w:t>
      </w:r>
      <w:r w:rsidR="003D51B4">
        <w:rPr>
          <w:lang w:eastAsia="ja-JP"/>
        </w:rPr>
        <w:t>.</w:t>
      </w:r>
      <w:r w:rsidR="00D8431D">
        <w:rPr>
          <w:lang w:eastAsia="ja-JP"/>
        </w:rPr>
        <w:t xml:space="preserve"> </w:t>
      </w:r>
      <w:r w:rsidR="003D51B4">
        <w:rPr>
          <w:lang w:eastAsia="ja-JP"/>
        </w:rPr>
        <w:t>Th</w:t>
      </w:r>
      <w:r>
        <w:rPr>
          <w:lang w:eastAsia="ja-JP"/>
        </w:rPr>
        <w:t>e</w:t>
      </w:r>
      <w:r w:rsidR="003D51B4">
        <w:rPr>
          <w:lang w:eastAsia="ja-JP"/>
        </w:rPr>
        <w:t xml:space="preserve"> resolution adds </w:t>
      </w:r>
      <w:r w:rsidR="00D8431D">
        <w:rPr>
          <w:lang w:eastAsia="ja-JP"/>
        </w:rPr>
        <w:t xml:space="preserve">aeronautical and maritime </w:t>
      </w:r>
      <w:r>
        <w:rPr>
          <w:lang w:eastAsia="ja-JP"/>
        </w:rPr>
        <w:t xml:space="preserve">ESIMs </w:t>
      </w:r>
      <w:r w:rsidR="00D8431D">
        <w:rPr>
          <w:lang w:eastAsia="ja-JP"/>
        </w:rPr>
        <w:t>communicating with non-geostationary space stations in the fixed-satellite service [</w:t>
      </w:r>
      <w:r w:rsidR="007529F7">
        <w:rPr>
          <w:lang w:eastAsia="ja-JP"/>
        </w:rPr>
        <w:t>3</w:t>
      </w:r>
      <w:r w:rsidR="00D8431D">
        <w:rPr>
          <w:lang w:eastAsia="ja-JP"/>
        </w:rPr>
        <w:t>].</w:t>
      </w:r>
    </w:p>
    <w:p w14:paraId="030F02AA" w14:textId="4EACCB4C" w:rsidR="00640D8F" w:rsidRPr="00D47119" w:rsidRDefault="00640D8F" w:rsidP="00640D8F">
      <w:pPr>
        <w:rPr>
          <w:lang w:eastAsia="ja-JP"/>
        </w:rPr>
      </w:pPr>
      <w:r>
        <w:rPr>
          <w:lang w:eastAsia="ja-JP"/>
        </w:rPr>
        <w:t>In [</w:t>
      </w:r>
      <w:r w:rsidR="007529F7">
        <w:rPr>
          <w:lang w:eastAsia="ja-JP"/>
        </w:rPr>
        <w:t>4</w:t>
      </w:r>
      <w:r>
        <w:rPr>
          <w:lang w:eastAsia="ja-JP"/>
        </w:rPr>
        <w:t>] we propose</w:t>
      </w:r>
      <w:r w:rsidR="004C5396">
        <w:rPr>
          <w:lang w:eastAsia="ja-JP"/>
        </w:rPr>
        <w:t>d</w:t>
      </w:r>
      <w:r>
        <w:rPr>
          <w:lang w:eastAsia="ja-JP"/>
        </w:rPr>
        <w:t xml:space="preserve"> that the Rel-18 standards gap of Mobile VSAT to NGSO should be addressed in the Rel-19 RAN4 non spectrum </w:t>
      </w:r>
      <w:r w:rsidR="00081514">
        <w:rPr>
          <w:lang w:eastAsia="ja-JP"/>
        </w:rPr>
        <w:t>package now that</w:t>
      </w:r>
      <w:r>
        <w:rPr>
          <w:lang w:eastAsia="ja-JP"/>
        </w:rPr>
        <w:t xml:space="preserve"> the regulatory blocker has been removed.</w:t>
      </w:r>
      <w:r w:rsidR="004C5396">
        <w:rPr>
          <w:lang w:eastAsia="ja-JP"/>
        </w:rPr>
        <w:t xml:space="preserve"> This proposal wi</w:t>
      </w:r>
      <w:r w:rsidR="00BA429E">
        <w:rPr>
          <w:lang w:eastAsia="ja-JP"/>
        </w:rPr>
        <w:t>l</w:t>
      </w:r>
      <w:r w:rsidR="004C5396">
        <w:rPr>
          <w:lang w:eastAsia="ja-JP"/>
        </w:rPr>
        <w:t>l be re-introduced in Dec at RAN #106.</w:t>
      </w:r>
    </w:p>
    <w:p w14:paraId="5071CB74" w14:textId="1B49A1E8" w:rsidR="00CC157C" w:rsidRDefault="00CC157C" w:rsidP="00CC157C">
      <w:pPr>
        <w:pStyle w:val="Heading1"/>
      </w:pPr>
      <w:r>
        <w:t xml:space="preserve">Ku Band </w:t>
      </w:r>
      <w:r w:rsidR="00640D8F">
        <w:t>10.7 – 14.5 GHz</w:t>
      </w:r>
    </w:p>
    <w:p w14:paraId="4D6EA52D" w14:textId="55FFEF2F" w:rsidR="00D8431D" w:rsidRPr="00D47119" w:rsidRDefault="00D8431D" w:rsidP="00D47119">
      <w:pPr>
        <w:rPr>
          <w:lang w:eastAsia="ja-JP"/>
        </w:rPr>
      </w:pPr>
      <w:r>
        <w:rPr>
          <w:lang w:eastAsia="ja-JP"/>
        </w:rPr>
        <w:t>Eutelsat Group operates fixed and mobile satellite services in Ku band and is planning to launch a new constellation to provide 5G NR NTN services in 2027 to operate commercial services in 2028. Following the release 18 work on NTN in bands above 10</w:t>
      </w:r>
      <w:r w:rsidR="00CB7414">
        <w:rPr>
          <w:lang w:eastAsia="ja-JP"/>
        </w:rPr>
        <w:t xml:space="preserve"> </w:t>
      </w:r>
      <w:r>
        <w:rPr>
          <w:lang w:eastAsia="ja-JP"/>
        </w:rPr>
        <w:t xml:space="preserve">GHz which used Ka as the example band, </w:t>
      </w:r>
      <w:r w:rsidR="007F3848">
        <w:rPr>
          <w:lang w:eastAsia="ja-JP"/>
        </w:rPr>
        <w:t xml:space="preserve">Eutelsat </w:t>
      </w:r>
      <w:r w:rsidR="00081514">
        <w:rPr>
          <w:lang w:eastAsia="ja-JP"/>
        </w:rPr>
        <w:t xml:space="preserve">Group </w:t>
      </w:r>
      <w:r>
        <w:rPr>
          <w:lang w:eastAsia="ja-JP"/>
        </w:rPr>
        <w:t xml:space="preserve">will be proposing to add support </w:t>
      </w:r>
      <w:r w:rsidR="00CB7414">
        <w:rPr>
          <w:lang w:eastAsia="ja-JP"/>
        </w:rPr>
        <w:t xml:space="preserve">for the </w:t>
      </w:r>
      <w:r>
        <w:rPr>
          <w:lang w:eastAsia="ja-JP"/>
        </w:rPr>
        <w:t xml:space="preserve">Ku band </w:t>
      </w:r>
      <w:r w:rsidR="00CB7414">
        <w:rPr>
          <w:lang w:eastAsia="ja-JP"/>
        </w:rPr>
        <w:t>within release 19</w:t>
      </w:r>
      <w:r>
        <w:rPr>
          <w:lang w:eastAsia="ja-JP"/>
        </w:rPr>
        <w:t>.</w:t>
      </w:r>
      <w:r w:rsidR="00CB7414">
        <w:rPr>
          <w:lang w:eastAsia="ja-JP"/>
        </w:rPr>
        <w:t xml:space="preserve"> </w:t>
      </w:r>
      <w:r w:rsidR="007F3848">
        <w:rPr>
          <w:lang w:eastAsia="ja-JP"/>
        </w:rPr>
        <w:t>This activity was successfully started at RAN #104</w:t>
      </w:r>
      <w:r w:rsidR="007529F7">
        <w:rPr>
          <w:lang w:eastAsia="ja-JP"/>
        </w:rPr>
        <w:t xml:space="preserve"> in [5]</w:t>
      </w:r>
      <w:r w:rsidR="007F3848">
        <w:rPr>
          <w:lang w:eastAsia="ja-JP"/>
        </w:rPr>
        <w:t xml:space="preserve">. </w:t>
      </w:r>
      <w:r w:rsidR="00CB7414">
        <w:rPr>
          <w:lang w:eastAsia="ja-JP"/>
        </w:rPr>
        <w:t>As with Ka, consensus from WRC-23 removes any remaining regulatory uncertainties</w:t>
      </w:r>
      <w:r w:rsidR="007F3848">
        <w:rPr>
          <w:lang w:eastAsia="ja-JP"/>
        </w:rPr>
        <w:t xml:space="preserve"> about the use of Ku</w:t>
      </w:r>
      <w:r w:rsidR="00CB7414">
        <w:rPr>
          <w:lang w:eastAsia="ja-JP"/>
        </w:rPr>
        <w:t>.</w:t>
      </w:r>
    </w:p>
    <w:p w14:paraId="204A86DF" w14:textId="70F2492A" w:rsidR="00CC157C" w:rsidRDefault="00CC157C" w:rsidP="00CC157C">
      <w:pPr>
        <w:rPr>
          <w:lang w:eastAsia="ja-JP"/>
        </w:rPr>
      </w:pPr>
      <w:r>
        <w:rPr>
          <w:lang w:eastAsia="ja-JP"/>
        </w:rPr>
        <w:t>Figure 1 shows the frequency ranges of the Ku band downlink and uplinks, as well as the adjacent space science service below 10.7 GHz and the proposed future IMT band above 14.8 GHz.</w:t>
      </w:r>
    </w:p>
    <w:p w14:paraId="6624CCDC" w14:textId="13B78CFD" w:rsidR="00CC157C" w:rsidRPr="00EB525F" w:rsidRDefault="005B5110" w:rsidP="00CC157C">
      <w:pPr>
        <w:rPr>
          <w:b/>
          <w:bCs/>
          <w:lang w:eastAsia="ja-JP"/>
        </w:rPr>
      </w:pPr>
      <w:r>
        <w:rPr>
          <w:b/>
          <w:bCs/>
          <w:noProof/>
          <w:lang w:eastAsia="ja-JP"/>
        </w:rPr>
        <w:lastRenderedPageBreak/>
        <w:drawing>
          <wp:inline distT="0" distB="0" distL="0" distR="0" wp14:anchorId="44ADAD43" wp14:editId="454B145D">
            <wp:extent cx="6030595" cy="1065143"/>
            <wp:effectExtent l="0" t="0" r="0" b="0"/>
            <wp:docPr id="1009824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1057" cy="1070523"/>
                    </a:xfrm>
                    <a:prstGeom prst="rect">
                      <a:avLst/>
                    </a:prstGeom>
                    <a:noFill/>
                  </pic:spPr>
                </pic:pic>
              </a:graphicData>
            </a:graphic>
          </wp:inline>
        </w:drawing>
      </w:r>
    </w:p>
    <w:p w14:paraId="2CD40870" w14:textId="77777777" w:rsidR="00CC157C" w:rsidRDefault="00CC157C" w:rsidP="00CC157C">
      <w:pPr>
        <w:jc w:val="center"/>
        <w:rPr>
          <w:b/>
          <w:bCs/>
          <w:lang w:eastAsia="ja-JP"/>
        </w:rPr>
      </w:pPr>
      <w:r w:rsidRPr="00EB525F">
        <w:rPr>
          <w:b/>
          <w:bCs/>
          <w:lang w:eastAsia="ja-JP"/>
        </w:rPr>
        <w:t>Figure 1 Frequency Range of Ku band and adjacent services</w:t>
      </w:r>
    </w:p>
    <w:p w14:paraId="142D4733" w14:textId="77777777" w:rsidR="00AF4EBB" w:rsidRPr="00EB525F" w:rsidRDefault="00AF4EBB" w:rsidP="00AF4EBB">
      <w:pPr>
        <w:rPr>
          <w:lang w:eastAsia="ja-JP"/>
        </w:rPr>
      </w:pPr>
    </w:p>
    <w:p w14:paraId="113FD506" w14:textId="6CB07C04" w:rsidR="00EB525F" w:rsidRPr="007F3848" w:rsidRDefault="00661E48" w:rsidP="007F3848">
      <w:pPr>
        <w:pStyle w:val="Heading2"/>
        <w:ind w:left="720"/>
        <w:rPr>
          <w:rFonts w:asciiTheme="minorHAnsi" w:hAnsiTheme="minorHAnsi" w:cstheme="minorHAnsi"/>
          <w:i/>
          <w:iCs/>
          <w:color w:val="auto"/>
          <w:sz w:val="22"/>
          <w:szCs w:val="22"/>
          <w:lang w:eastAsia="ja-JP"/>
        </w:rPr>
      </w:pPr>
      <w:r w:rsidRPr="007F3848">
        <w:rPr>
          <w:rFonts w:asciiTheme="minorHAnsi" w:hAnsiTheme="minorHAnsi" w:cstheme="minorHAnsi"/>
          <w:b/>
          <w:bCs/>
          <w:color w:val="auto"/>
          <w:sz w:val="22"/>
          <w:szCs w:val="22"/>
          <w:lang w:eastAsia="ja-JP"/>
        </w:rPr>
        <w:t>Note 1</w:t>
      </w:r>
      <w:r w:rsidR="008D4B4B" w:rsidRPr="007F3848">
        <w:rPr>
          <w:rFonts w:asciiTheme="minorHAnsi" w:hAnsiTheme="minorHAnsi" w:cstheme="minorHAnsi"/>
          <w:b/>
          <w:bCs/>
          <w:color w:val="auto"/>
          <w:sz w:val="22"/>
          <w:szCs w:val="22"/>
          <w:lang w:eastAsia="ja-JP"/>
        </w:rPr>
        <w:t>:</w:t>
      </w:r>
      <w:r w:rsidRPr="007F3848">
        <w:rPr>
          <w:rFonts w:asciiTheme="minorHAnsi" w:hAnsiTheme="minorHAnsi" w:cstheme="minorHAnsi"/>
          <w:color w:val="auto"/>
          <w:sz w:val="22"/>
          <w:szCs w:val="22"/>
          <w:lang w:eastAsia="ja-JP"/>
        </w:rPr>
        <w:t xml:space="preserve"> Radio Astronomy</w:t>
      </w:r>
      <w:r w:rsidR="00151DF2" w:rsidRPr="007F3848">
        <w:rPr>
          <w:rFonts w:asciiTheme="minorHAnsi" w:hAnsiTheme="minorHAnsi" w:cstheme="minorHAnsi"/>
          <w:color w:val="auto"/>
          <w:sz w:val="22"/>
          <w:szCs w:val="22"/>
          <w:lang w:eastAsia="ja-JP"/>
        </w:rPr>
        <w:t>,</w:t>
      </w:r>
      <w:r w:rsidR="00820B02" w:rsidRPr="007F3848">
        <w:rPr>
          <w:rFonts w:asciiTheme="minorHAnsi" w:hAnsiTheme="minorHAnsi" w:cstheme="minorHAnsi"/>
          <w:color w:val="auto"/>
          <w:sz w:val="22"/>
          <w:szCs w:val="22"/>
          <w:lang w:eastAsia="ja-JP"/>
        </w:rPr>
        <w:t xml:space="preserve"> Earth Exploration </w:t>
      </w:r>
      <w:r w:rsidR="008D4B4B" w:rsidRPr="007F3848">
        <w:rPr>
          <w:rFonts w:asciiTheme="minorHAnsi" w:hAnsiTheme="minorHAnsi" w:cstheme="minorHAnsi"/>
          <w:color w:val="auto"/>
          <w:sz w:val="22"/>
          <w:szCs w:val="22"/>
          <w:lang w:eastAsia="ja-JP"/>
        </w:rPr>
        <w:t xml:space="preserve">Satellite </w:t>
      </w:r>
      <w:r w:rsidR="00820B02" w:rsidRPr="007F3848">
        <w:rPr>
          <w:rFonts w:asciiTheme="minorHAnsi" w:hAnsiTheme="minorHAnsi" w:cstheme="minorHAnsi"/>
          <w:color w:val="auto"/>
          <w:sz w:val="22"/>
          <w:szCs w:val="22"/>
          <w:lang w:eastAsia="ja-JP"/>
        </w:rPr>
        <w:t xml:space="preserve">(passive) </w:t>
      </w:r>
      <w:r w:rsidR="008D4B4B" w:rsidRPr="007F3848">
        <w:rPr>
          <w:rFonts w:asciiTheme="minorHAnsi" w:hAnsiTheme="minorHAnsi" w:cstheme="minorHAnsi"/>
          <w:color w:val="auto"/>
          <w:sz w:val="22"/>
          <w:szCs w:val="22"/>
          <w:lang w:eastAsia="ja-JP"/>
        </w:rPr>
        <w:t xml:space="preserve">Services </w:t>
      </w:r>
      <w:r w:rsidR="00151DF2" w:rsidRPr="007F3848">
        <w:rPr>
          <w:rFonts w:asciiTheme="minorHAnsi" w:hAnsiTheme="minorHAnsi" w:cstheme="minorHAnsi"/>
          <w:color w:val="auto"/>
          <w:sz w:val="22"/>
          <w:szCs w:val="22"/>
          <w:lang w:eastAsia="ja-JP"/>
        </w:rPr>
        <w:t>and passive band</w:t>
      </w:r>
      <w:r w:rsidRPr="007F3848">
        <w:rPr>
          <w:rFonts w:asciiTheme="minorHAnsi" w:hAnsiTheme="minorHAnsi" w:cstheme="minorHAnsi"/>
          <w:color w:val="auto"/>
          <w:sz w:val="22"/>
          <w:szCs w:val="22"/>
          <w:lang w:eastAsia="ja-JP"/>
        </w:rPr>
        <w:t xml:space="preserve"> below 10.7 GHz</w:t>
      </w:r>
      <w:r w:rsidR="007F3848">
        <w:rPr>
          <w:rFonts w:asciiTheme="minorHAnsi" w:hAnsiTheme="minorHAnsi" w:cstheme="minorHAnsi"/>
          <w:color w:val="auto"/>
          <w:sz w:val="22"/>
          <w:szCs w:val="22"/>
          <w:lang w:eastAsia="ja-JP"/>
        </w:rPr>
        <w:t xml:space="preserve">. </w:t>
      </w:r>
      <w:r w:rsidR="00820B02" w:rsidRPr="007F3848">
        <w:rPr>
          <w:rFonts w:asciiTheme="minorHAnsi" w:hAnsiTheme="minorHAnsi" w:cstheme="minorHAnsi"/>
          <w:color w:val="auto"/>
          <w:sz w:val="22"/>
          <w:szCs w:val="22"/>
        </w:rPr>
        <w:t xml:space="preserve">The 10.6-10.7 GHz band involves two allocations. The band contains a primary allocation to RAS </w:t>
      </w:r>
      <w:r w:rsidR="008D4B4B" w:rsidRPr="007F3848">
        <w:rPr>
          <w:rFonts w:asciiTheme="minorHAnsi" w:hAnsiTheme="minorHAnsi" w:cstheme="minorHAnsi"/>
          <w:color w:val="auto"/>
          <w:sz w:val="22"/>
          <w:szCs w:val="22"/>
        </w:rPr>
        <w:t xml:space="preserve">(Radio Astronomy Service) </w:t>
      </w:r>
      <w:r w:rsidR="00820B02" w:rsidRPr="007F3848">
        <w:rPr>
          <w:rFonts w:asciiTheme="minorHAnsi" w:hAnsiTheme="minorHAnsi" w:cstheme="minorHAnsi"/>
          <w:color w:val="auto"/>
          <w:sz w:val="22"/>
          <w:szCs w:val="22"/>
        </w:rPr>
        <w:t xml:space="preserve">and </w:t>
      </w:r>
      <w:r w:rsidR="008D4B4B" w:rsidRPr="007F3848">
        <w:rPr>
          <w:rFonts w:asciiTheme="minorHAnsi" w:hAnsiTheme="minorHAnsi" w:cstheme="minorHAnsi"/>
          <w:color w:val="auto"/>
          <w:sz w:val="22"/>
          <w:szCs w:val="22"/>
        </w:rPr>
        <w:t xml:space="preserve">(passive) </w:t>
      </w:r>
      <w:r w:rsidR="00820B02" w:rsidRPr="007F3848">
        <w:rPr>
          <w:rFonts w:asciiTheme="minorHAnsi" w:hAnsiTheme="minorHAnsi" w:cstheme="minorHAnsi"/>
          <w:color w:val="auto"/>
          <w:sz w:val="22"/>
          <w:szCs w:val="22"/>
        </w:rPr>
        <w:t xml:space="preserve">EESS </w:t>
      </w:r>
      <w:r w:rsidR="008D4B4B" w:rsidRPr="007F3848">
        <w:rPr>
          <w:rFonts w:asciiTheme="minorHAnsi" w:hAnsiTheme="minorHAnsi" w:cstheme="minorHAnsi"/>
          <w:color w:val="auto"/>
          <w:sz w:val="22"/>
          <w:szCs w:val="22"/>
        </w:rPr>
        <w:t xml:space="preserve">(Earth Exploration Space Service) </w:t>
      </w:r>
      <w:r w:rsidR="00820B02" w:rsidRPr="007F3848">
        <w:rPr>
          <w:rFonts w:asciiTheme="minorHAnsi" w:hAnsiTheme="minorHAnsi" w:cstheme="minorHAnsi"/>
          <w:color w:val="auto"/>
          <w:sz w:val="22"/>
          <w:szCs w:val="22"/>
        </w:rPr>
        <w:t xml:space="preserve">and the 10.68-10.7 GHz band is also a passive band (No. 5.340). </w:t>
      </w:r>
    </w:p>
    <w:p w14:paraId="72C0D619" w14:textId="232920E2" w:rsidR="001D2EA9" w:rsidRPr="007F3848" w:rsidRDefault="00EB525F" w:rsidP="007F3848">
      <w:pPr>
        <w:pStyle w:val="Heading2"/>
        <w:ind w:left="720"/>
        <w:rPr>
          <w:rFonts w:asciiTheme="minorHAnsi" w:hAnsiTheme="minorHAnsi" w:cstheme="minorHAnsi"/>
          <w:color w:val="auto"/>
          <w:sz w:val="22"/>
          <w:szCs w:val="22"/>
          <w:lang w:eastAsia="ja-JP"/>
        </w:rPr>
      </w:pPr>
      <w:r w:rsidRPr="007F3848">
        <w:rPr>
          <w:rFonts w:asciiTheme="minorHAnsi" w:hAnsiTheme="minorHAnsi" w:cstheme="minorHAnsi"/>
          <w:b/>
          <w:bCs/>
          <w:color w:val="auto"/>
          <w:sz w:val="22"/>
          <w:szCs w:val="22"/>
          <w:lang w:eastAsia="ja-JP"/>
        </w:rPr>
        <w:t>Note</w:t>
      </w:r>
      <w:r w:rsidR="00215A59" w:rsidRPr="007F3848">
        <w:rPr>
          <w:rFonts w:asciiTheme="minorHAnsi" w:hAnsiTheme="minorHAnsi" w:cstheme="minorHAnsi"/>
          <w:b/>
          <w:bCs/>
          <w:color w:val="auto"/>
          <w:sz w:val="22"/>
          <w:szCs w:val="22"/>
          <w:lang w:eastAsia="ja-JP"/>
        </w:rPr>
        <w:t xml:space="preserve"> </w:t>
      </w:r>
      <w:r w:rsidRPr="007F3848">
        <w:rPr>
          <w:rFonts w:asciiTheme="minorHAnsi" w:hAnsiTheme="minorHAnsi" w:cstheme="minorHAnsi"/>
          <w:b/>
          <w:bCs/>
          <w:color w:val="auto"/>
          <w:sz w:val="22"/>
          <w:szCs w:val="22"/>
          <w:lang w:eastAsia="ja-JP"/>
        </w:rPr>
        <w:t>2</w:t>
      </w:r>
      <w:r w:rsidR="008D4B4B" w:rsidRPr="007F3848">
        <w:rPr>
          <w:rFonts w:asciiTheme="minorHAnsi" w:hAnsiTheme="minorHAnsi" w:cstheme="minorHAnsi"/>
          <w:b/>
          <w:bCs/>
          <w:color w:val="auto"/>
          <w:sz w:val="22"/>
          <w:szCs w:val="22"/>
          <w:lang w:eastAsia="ja-JP"/>
        </w:rPr>
        <w:t>:</w:t>
      </w:r>
      <w:r w:rsidRPr="007F3848">
        <w:rPr>
          <w:rFonts w:asciiTheme="minorHAnsi" w:hAnsiTheme="minorHAnsi" w:cstheme="minorHAnsi"/>
          <w:b/>
          <w:bCs/>
          <w:i/>
          <w:iCs/>
          <w:color w:val="auto"/>
          <w:sz w:val="22"/>
          <w:szCs w:val="22"/>
          <w:lang w:eastAsia="ja-JP"/>
        </w:rPr>
        <w:t xml:space="preserve"> </w:t>
      </w:r>
      <w:r w:rsidR="00CC157C" w:rsidRPr="007F3848">
        <w:rPr>
          <w:rFonts w:asciiTheme="minorHAnsi" w:hAnsiTheme="minorHAnsi" w:cstheme="minorHAnsi"/>
          <w:color w:val="auto"/>
          <w:sz w:val="22"/>
          <w:szCs w:val="22"/>
          <w:lang w:eastAsia="ja-JP"/>
        </w:rPr>
        <w:t xml:space="preserve">Ku downlink </w:t>
      </w:r>
      <w:r w:rsidR="00265DBD" w:rsidRPr="007F3848">
        <w:rPr>
          <w:rFonts w:asciiTheme="minorHAnsi" w:hAnsiTheme="minorHAnsi" w:cstheme="minorHAnsi"/>
          <w:color w:val="auto"/>
          <w:sz w:val="22"/>
          <w:szCs w:val="22"/>
          <w:lang w:eastAsia="ja-JP"/>
        </w:rPr>
        <w:t>extends to 12.75 GHz in Region</w:t>
      </w:r>
      <w:r w:rsidR="00672B88" w:rsidRPr="007F3848">
        <w:rPr>
          <w:rFonts w:asciiTheme="minorHAnsi" w:hAnsiTheme="minorHAnsi" w:cstheme="minorHAnsi"/>
          <w:color w:val="auto"/>
          <w:sz w:val="22"/>
          <w:szCs w:val="22"/>
          <w:lang w:eastAsia="ja-JP"/>
        </w:rPr>
        <w:t>s</w:t>
      </w:r>
      <w:r w:rsidR="00265DBD" w:rsidRPr="007F3848">
        <w:rPr>
          <w:rFonts w:asciiTheme="minorHAnsi" w:hAnsiTheme="minorHAnsi" w:cstheme="minorHAnsi"/>
          <w:color w:val="auto"/>
          <w:sz w:val="22"/>
          <w:szCs w:val="22"/>
          <w:lang w:eastAsia="ja-JP"/>
        </w:rPr>
        <w:t xml:space="preserve"> </w:t>
      </w:r>
      <w:r w:rsidR="00672B88" w:rsidRPr="007F3848">
        <w:rPr>
          <w:rFonts w:asciiTheme="minorHAnsi" w:hAnsiTheme="minorHAnsi" w:cstheme="minorHAnsi"/>
          <w:color w:val="auto"/>
          <w:sz w:val="22"/>
          <w:szCs w:val="22"/>
          <w:lang w:eastAsia="ja-JP"/>
        </w:rPr>
        <w:t>1 &amp; 3</w:t>
      </w:r>
      <w:r w:rsidR="007F3848">
        <w:rPr>
          <w:rFonts w:asciiTheme="minorHAnsi" w:hAnsiTheme="minorHAnsi" w:cstheme="minorHAnsi"/>
          <w:color w:val="auto"/>
          <w:sz w:val="22"/>
          <w:szCs w:val="22"/>
          <w:lang w:eastAsia="ja-JP"/>
        </w:rPr>
        <w:t xml:space="preserve">. </w:t>
      </w:r>
      <w:r w:rsidR="00F776D8" w:rsidRPr="007F3848">
        <w:rPr>
          <w:rFonts w:asciiTheme="minorHAnsi" w:hAnsiTheme="minorHAnsi" w:cstheme="minorHAnsi"/>
          <w:color w:val="auto"/>
          <w:sz w:val="22"/>
          <w:szCs w:val="22"/>
          <w:lang w:eastAsia="ja-JP"/>
        </w:rPr>
        <w:t>The upper end of the Ku downlink range is 12.70 GHz in Region</w:t>
      </w:r>
      <w:r w:rsidR="00311988" w:rsidRPr="007F3848">
        <w:rPr>
          <w:rFonts w:asciiTheme="minorHAnsi" w:hAnsiTheme="minorHAnsi" w:cstheme="minorHAnsi"/>
          <w:color w:val="auto"/>
          <w:sz w:val="22"/>
          <w:szCs w:val="22"/>
          <w:lang w:eastAsia="ja-JP"/>
        </w:rPr>
        <w:t xml:space="preserve"> 2 and </w:t>
      </w:r>
      <w:r w:rsidR="00F776D8" w:rsidRPr="007F3848">
        <w:rPr>
          <w:rFonts w:asciiTheme="minorHAnsi" w:hAnsiTheme="minorHAnsi" w:cstheme="minorHAnsi"/>
          <w:color w:val="auto"/>
          <w:sz w:val="22"/>
          <w:szCs w:val="22"/>
          <w:lang w:eastAsia="ja-JP"/>
        </w:rPr>
        <w:t xml:space="preserve">12.75 </w:t>
      </w:r>
      <w:r w:rsidR="00A41381" w:rsidRPr="007F3848">
        <w:rPr>
          <w:rFonts w:asciiTheme="minorHAnsi" w:hAnsiTheme="minorHAnsi" w:cstheme="minorHAnsi"/>
          <w:color w:val="auto"/>
          <w:sz w:val="22"/>
          <w:szCs w:val="22"/>
          <w:lang w:eastAsia="ja-JP"/>
        </w:rPr>
        <w:t xml:space="preserve">GHz </w:t>
      </w:r>
      <w:r w:rsidR="00F776D8" w:rsidRPr="007F3848">
        <w:rPr>
          <w:rFonts w:asciiTheme="minorHAnsi" w:hAnsiTheme="minorHAnsi" w:cstheme="minorHAnsi"/>
          <w:color w:val="auto"/>
          <w:sz w:val="22"/>
          <w:szCs w:val="22"/>
          <w:lang w:eastAsia="ja-JP"/>
        </w:rPr>
        <w:t>in region</w:t>
      </w:r>
      <w:r w:rsidR="00311988" w:rsidRPr="007F3848">
        <w:rPr>
          <w:rFonts w:asciiTheme="minorHAnsi" w:hAnsiTheme="minorHAnsi" w:cstheme="minorHAnsi"/>
          <w:color w:val="auto"/>
          <w:sz w:val="22"/>
          <w:szCs w:val="22"/>
          <w:lang w:eastAsia="ja-JP"/>
        </w:rPr>
        <w:t>s 1 &amp; 3</w:t>
      </w:r>
      <w:r w:rsidR="003A0344" w:rsidRPr="007F3848">
        <w:rPr>
          <w:rFonts w:asciiTheme="minorHAnsi" w:hAnsiTheme="minorHAnsi" w:cstheme="minorHAnsi"/>
          <w:color w:val="auto"/>
          <w:sz w:val="22"/>
          <w:szCs w:val="22"/>
          <w:lang w:eastAsia="ja-JP"/>
        </w:rPr>
        <w:t>.</w:t>
      </w:r>
    </w:p>
    <w:p w14:paraId="35BD622D" w14:textId="33507385" w:rsidR="00A41381" w:rsidRPr="007F3848" w:rsidRDefault="00066A6C" w:rsidP="007F3848">
      <w:pPr>
        <w:pStyle w:val="Heading2"/>
        <w:ind w:left="720"/>
        <w:rPr>
          <w:rFonts w:asciiTheme="minorHAnsi" w:hAnsiTheme="minorHAnsi" w:cstheme="minorHAnsi"/>
          <w:color w:val="auto"/>
          <w:sz w:val="22"/>
          <w:szCs w:val="22"/>
          <w:lang w:eastAsia="ja-JP"/>
        </w:rPr>
      </w:pPr>
      <w:r w:rsidRPr="007F3848">
        <w:rPr>
          <w:rFonts w:asciiTheme="minorHAnsi" w:hAnsiTheme="minorHAnsi" w:cstheme="minorHAnsi"/>
          <w:b/>
          <w:bCs/>
          <w:color w:val="auto"/>
          <w:sz w:val="22"/>
          <w:szCs w:val="22"/>
          <w:lang w:eastAsia="ja-JP"/>
        </w:rPr>
        <w:t>Note 3</w:t>
      </w:r>
      <w:r w:rsidR="00CA1D38" w:rsidRPr="007F3848">
        <w:rPr>
          <w:rFonts w:asciiTheme="minorHAnsi" w:hAnsiTheme="minorHAnsi" w:cstheme="minorHAnsi"/>
          <w:b/>
          <w:bCs/>
          <w:color w:val="auto"/>
          <w:sz w:val="22"/>
          <w:szCs w:val="22"/>
          <w:lang w:eastAsia="ja-JP"/>
        </w:rPr>
        <w:t>:</w:t>
      </w:r>
      <w:r w:rsidRPr="007F3848">
        <w:rPr>
          <w:rFonts w:asciiTheme="minorHAnsi" w:hAnsiTheme="minorHAnsi" w:cstheme="minorHAnsi"/>
          <w:color w:val="auto"/>
          <w:sz w:val="22"/>
          <w:szCs w:val="22"/>
          <w:lang w:eastAsia="ja-JP"/>
        </w:rPr>
        <w:t xml:space="preserve"> </w:t>
      </w:r>
      <w:r w:rsidR="008D0FD6" w:rsidRPr="007F3848">
        <w:rPr>
          <w:rFonts w:asciiTheme="minorHAnsi" w:hAnsiTheme="minorHAnsi" w:cstheme="minorHAnsi"/>
          <w:color w:val="auto"/>
          <w:sz w:val="22"/>
          <w:szCs w:val="22"/>
          <w:lang w:eastAsia="ja-JP"/>
        </w:rPr>
        <w:t xml:space="preserve">Proposals to consider IMT operation in the range 12.75-13.25 </w:t>
      </w:r>
      <w:r w:rsidR="00215A59" w:rsidRPr="007F3848">
        <w:rPr>
          <w:rFonts w:asciiTheme="minorHAnsi" w:hAnsiTheme="minorHAnsi" w:cstheme="minorHAnsi"/>
          <w:color w:val="auto"/>
          <w:sz w:val="22"/>
          <w:szCs w:val="22"/>
          <w:lang w:eastAsia="ja-JP"/>
        </w:rPr>
        <w:t xml:space="preserve">GHz </w:t>
      </w:r>
      <w:r w:rsidR="008D0FD6" w:rsidRPr="007F3848">
        <w:rPr>
          <w:rFonts w:asciiTheme="minorHAnsi" w:hAnsiTheme="minorHAnsi" w:cstheme="minorHAnsi"/>
          <w:color w:val="auto"/>
          <w:sz w:val="22"/>
          <w:szCs w:val="22"/>
          <w:lang w:eastAsia="ja-JP"/>
        </w:rPr>
        <w:t xml:space="preserve">were </w:t>
      </w:r>
      <w:r w:rsidR="00FC2579" w:rsidRPr="007F3848">
        <w:rPr>
          <w:rFonts w:asciiTheme="minorHAnsi" w:hAnsiTheme="minorHAnsi" w:cstheme="minorHAnsi"/>
          <w:color w:val="auto"/>
          <w:sz w:val="22"/>
          <w:szCs w:val="22"/>
          <w:lang w:eastAsia="ja-JP"/>
        </w:rPr>
        <w:t xml:space="preserve">rejected </w:t>
      </w:r>
      <w:r w:rsidR="008D0FD6" w:rsidRPr="007F3848">
        <w:rPr>
          <w:rFonts w:asciiTheme="minorHAnsi" w:hAnsiTheme="minorHAnsi" w:cstheme="minorHAnsi"/>
          <w:color w:val="auto"/>
          <w:sz w:val="22"/>
          <w:szCs w:val="22"/>
          <w:lang w:eastAsia="ja-JP"/>
        </w:rPr>
        <w:t>at WRC</w:t>
      </w:r>
      <w:r w:rsidR="00215A59" w:rsidRPr="007F3848">
        <w:rPr>
          <w:rFonts w:asciiTheme="minorHAnsi" w:hAnsiTheme="minorHAnsi" w:cstheme="minorHAnsi"/>
          <w:color w:val="auto"/>
          <w:sz w:val="22"/>
          <w:szCs w:val="22"/>
          <w:lang w:eastAsia="ja-JP"/>
        </w:rPr>
        <w:t>-</w:t>
      </w:r>
      <w:r w:rsidR="00FC2579" w:rsidRPr="007F3848">
        <w:rPr>
          <w:rFonts w:asciiTheme="minorHAnsi" w:hAnsiTheme="minorHAnsi" w:cstheme="minorHAnsi"/>
          <w:color w:val="auto"/>
          <w:sz w:val="22"/>
          <w:szCs w:val="22"/>
          <w:lang w:eastAsia="ja-JP"/>
        </w:rPr>
        <w:t>23</w:t>
      </w:r>
      <w:r w:rsidR="007F3848">
        <w:rPr>
          <w:rFonts w:asciiTheme="minorHAnsi" w:hAnsiTheme="minorHAnsi" w:cstheme="minorHAnsi"/>
          <w:color w:val="auto"/>
          <w:sz w:val="22"/>
          <w:szCs w:val="22"/>
          <w:lang w:eastAsia="ja-JP"/>
        </w:rPr>
        <w:t xml:space="preserve"> confirming the primary allocation for satellite services</w:t>
      </w:r>
      <w:r w:rsidR="00311988" w:rsidRPr="007F3848">
        <w:rPr>
          <w:rFonts w:asciiTheme="minorHAnsi" w:hAnsiTheme="minorHAnsi" w:cstheme="minorHAnsi"/>
          <w:color w:val="auto"/>
          <w:sz w:val="22"/>
          <w:szCs w:val="22"/>
          <w:lang w:eastAsia="ja-JP"/>
        </w:rPr>
        <w:t>.</w:t>
      </w:r>
      <w:r w:rsidR="007F3848">
        <w:rPr>
          <w:rFonts w:asciiTheme="minorHAnsi" w:hAnsiTheme="minorHAnsi" w:cstheme="minorHAnsi"/>
          <w:color w:val="auto"/>
          <w:sz w:val="22"/>
          <w:szCs w:val="22"/>
          <w:lang w:eastAsia="ja-JP"/>
        </w:rPr>
        <w:t xml:space="preserve"> </w:t>
      </w:r>
      <w:r w:rsidR="00A41381" w:rsidRPr="007F3848">
        <w:rPr>
          <w:rFonts w:asciiTheme="minorHAnsi" w:hAnsiTheme="minorHAnsi" w:cstheme="minorHAnsi"/>
          <w:color w:val="auto"/>
          <w:sz w:val="22"/>
          <w:szCs w:val="22"/>
          <w:lang w:eastAsia="ja-JP"/>
        </w:rPr>
        <w:t>In region</w:t>
      </w:r>
      <w:r w:rsidR="004F6464" w:rsidRPr="007F3848">
        <w:rPr>
          <w:rFonts w:asciiTheme="minorHAnsi" w:hAnsiTheme="minorHAnsi" w:cstheme="minorHAnsi"/>
          <w:color w:val="auto"/>
          <w:sz w:val="22"/>
          <w:szCs w:val="22"/>
          <w:lang w:eastAsia="ja-JP"/>
        </w:rPr>
        <w:t xml:space="preserve"> </w:t>
      </w:r>
      <w:r w:rsidR="00A41381" w:rsidRPr="007F3848">
        <w:rPr>
          <w:rFonts w:asciiTheme="minorHAnsi" w:hAnsiTheme="minorHAnsi" w:cstheme="minorHAnsi"/>
          <w:color w:val="auto"/>
          <w:sz w:val="22"/>
          <w:szCs w:val="22"/>
          <w:lang w:eastAsia="ja-JP"/>
        </w:rPr>
        <w:t>2, earth-space</w:t>
      </w:r>
      <w:r w:rsidR="004F6464" w:rsidRPr="007F3848">
        <w:rPr>
          <w:rFonts w:asciiTheme="minorHAnsi" w:hAnsiTheme="minorHAnsi" w:cstheme="minorHAnsi"/>
          <w:color w:val="auto"/>
          <w:sz w:val="22"/>
          <w:szCs w:val="22"/>
          <w:lang w:eastAsia="ja-JP"/>
        </w:rPr>
        <w:t xml:space="preserve"> is permitted between 12.70-12.75 GHz,</w:t>
      </w:r>
      <w:r w:rsidR="00A41381" w:rsidRPr="007F3848">
        <w:rPr>
          <w:rFonts w:asciiTheme="minorHAnsi" w:hAnsiTheme="minorHAnsi" w:cstheme="minorHAnsi"/>
          <w:color w:val="auto"/>
          <w:sz w:val="22"/>
          <w:szCs w:val="22"/>
          <w:lang w:eastAsia="ja-JP"/>
        </w:rPr>
        <w:t xml:space="preserve"> so could extend uplink1 from 12.70</w:t>
      </w:r>
      <w:r w:rsidR="004F6464" w:rsidRPr="007F3848">
        <w:rPr>
          <w:rFonts w:asciiTheme="minorHAnsi" w:hAnsiTheme="minorHAnsi" w:cstheme="minorHAnsi"/>
          <w:color w:val="auto"/>
          <w:sz w:val="22"/>
          <w:szCs w:val="22"/>
          <w:lang w:eastAsia="ja-JP"/>
        </w:rPr>
        <w:t>-13.25 GHz</w:t>
      </w:r>
      <w:r w:rsidR="003A0344" w:rsidRPr="007F3848">
        <w:rPr>
          <w:rFonts w:asciiTheme="minorHAnsi" w:hAnsiTheme="minorHAnsi" w:cstheme="minorHAnsi"/>
          <w:color w:val="auto"/>
          <w:sz w:val="22"/>
          <w:szCs w:val="22"/>
          <w:lang w:eastAsia="ja-JP"/>
        </w:rPr>
        <w:t>.</w:t>
      </w:r>
    </w:p>
    <w:p w14:paraId="58DBF8DB" w14:textId="59C9AE88" w:rsidR="00EB525F" w:rsidRPr="007F3848" w:rsidRDefault="001A5702" w:rsidP="007F3848">
      <w:pPr>
        <w:pStyle w:val="Heading2"/>
        <w:ind w:left="720"/>
        <w:rPr>
          <w:rFonts w:asciiTheme="minorHAnsi" w:hAnsiTheme="minorHAnsi" w:cstheme="minorHAnsi"/>
          <w:color w:val="auto"/>
          <w:sz w:val="22"/>
          <w:szCs w:val="22"/>
          <w:lang w:eastAsia="ja-JP"/>
        </w:rPr>
      </w:pPr>
      <w:r w:rsidRPr="007F3848">
        <w:rPr>
          <w:rFonts w:asciiTheme="minorHAnsi" w:hAnsiTheme="minorHAnsi" w:cstheme="minorHAnsi"/>
          <w:b/>
          <w:bCs/>
          <w:color w:val="auto"/>
          <w:sz w:val="22"/>
          <w:szCs w:val="22"/>
          <w:lang w:eastAsia="ja-JP"/>
        </w:rPr>
        <w:t>Note 4</w:t>
      </w:r>
      <w:r w:rsidR="00CA1D38" w:rsidRPr="007F3848">
        <w:rPr>
          <w:rFonts w:asciiTheme="minorHAnsi" w:hAnsiTheme="minorHAnsi" w:cstheme="minorHAnsi"/>
          <w:b/>
          <w:bCs/>
          <w:color w:val="auto"/>
          <w:sz w:val="22"/>
          <w:szCs w:val="22"/>
          <w:lang w:eastAsia="ja-JP"/>
        </w:rPr>
        <w:t>:</w:t>
      </w:r>
      <w:r w:rsidRPr="007F3848">
        <w:rPr>
          <w:rFonts w:asciiTheme="minorHAnsi" w:hAnsiTheme="minorHAnsi" w:cstheme="minorHAnsi"/>
          <w:b/>
          <w:bCs/>
          <w:color w:val="auto"/>
          <w:sz w:val="22"/>
          <w:szCs w:val="22"/>
          <w:lang w:eastAsia="ja-JP"/>
        </w:rPr>
        <w:t xml:space="preserve"> </w:t>
      </w:r>
      <w:r w:rsidRPr="007F3848">
        <w:rPr>
          <w:rFonts w:asciiTheme="minorHAnsi" w:hAnsiTheme="minorHAnsi" w:cstheme="minorHAnsi"/>
          <w:color w:val="auto"/>
          <w:sz w:val="22"/>
          <w:szCs w:val="22"/>
          <w:lang w:eastAsia="ja-JP"/>
        </w:rPr>
        <w:t>Small antennas for Ku uplink 13.75-14.0 GHz</w:t>
      </w:r>
      <w:r w:rsidR="007F3848">
        <w:rPr>
          <w:rFonts w:asciiTheme="minorHAnsi" w:hAnsiTheme="minorHAnsi" w:cstheme="minorHAnsi"/>
          <w:color w:val="auto"/>
          <w:sz w:val="22"/>
          <w:szCs w:val="22"/>
          <w:lang w:eastAsia="ja-JP"/>
        </w:rPr>
        <w:t xml:space="preserve">. </w:t>
      </w:r>
      <w:r w:rsidR="00EB525F" w:rsidRPr="007F3848">
        <w:rPr>
          <w:rFonts w:asciiTheme="minorHAnsi" w:hAnsiTheme="minorHAnsi" w:cstheme="minorHAnsi"/>
          <w:color w:val="auto"/>
          <w:sz w:val="22"/>
          <w:szCs w:val="22"/>
          <w:lang w:eastAsia="ja-JP"/>
        </w:rPr>
        <w:t xml:space="preserve">For 13.75-14.0 GHz, ITU has minimum terminal antenna size requirements of 1.2m for GSO and 4.5m for NGSO. 14.0-14.5 </w:t>
      </w:r>
      <w:r w:rsidR="00215A59" w:rsidRPr="007F3848">
        <w:rPr>
          <w:rFonts w:asciiTheme="minorHAnsi" w:hAnsiTheme="minorHAnsi" w:cstheme="minorHAnsi"/>
          <w:color w:val="auto"/>
          <w:sz w:val="22"/>
          <w:szCs w:val="22"/>
          <w:lang w:eastAsia="ja-JP"/>
        </w:rPr>
        <w:t xml:space="preserve">GHz </w:t>
      </w:r>
      <w:r w:rsidR="00EB525F" w:rsidRPr="007F3848">
        <w:rPr>
          <w:rFonts w:asciiTheme="minorHAnsi" w:hAnsiTheme="minorHAnsi" w:cstheme="minorHAnsi"/>
          <w:color w:val="auto"/>
          <w:sz w:val="22"/>
          <w:szCs w:val="22"/>
          <w:lang w:eastAsia="ja-JP"/>
        </w:rPr>
        <w:t xml:space="preserve">only has restrictions for earth stations on vessels of 1.2m with flexibility for smaller antennas where 1.2m requirements can be met. The 4.5m requirement </w:t>
      </w:r>
      <w:r w:rsidR="00F47CE8">
        <w:rPr>
          <w:rFonts w:asciiTheme="minorHAnsi" w:hAnsiTheme="minorHAnsi" w:cstheme="minorHAnsi"/>
          <w:color w:val="auto"/>
          <w:sz w:val="22"/>
          <w:szCs w:val="22"/>
          <w:lang w:eastAsia="ja-JP"/>
        </w:rPr>
        <w:t>for</w:t>
      </w:r>
      <w:r w:rsidR="00F47CE8" w:rsidRPr="007F3848">
        <w:rPr>
          <w:rFonts w:asciiTheme="minorHAnsi" w:hAnsiTheme="minorHAnsi" w:cstheme="minorHAnsi"/>
          <w:color w:val="auto"/>
          <w:sz w:val="22"/>
          <w:szCs w:val="22"/>
          <w:lang w:eastAsia="ja-JP"/>
        </w:rPr>
        <w:t xml:space="preserve"> </w:t>
      </w:r>
      <w:r w:rsidR="00EB525F" w:rsidRPr="007F3848">
        <w:rPr>
          <w:rFonts w:asciiTheme="minorHAnsi" w:hAnsiTheme="minorHAnsi" w:cstheme="minorHAnsi"/>
          <w:color w:val="auto"/>
          <w:sz w:val="22"/>
          <w:szCs w:val="22"/>
          <w:lang w:eastAsia="ja-JP"/>
        </w:rPr>
        <w:t>13.75</w:t>
      </w:r>
      <w:r w:rsidR="004F6464" w:rsidRPr="007F3848">
        <w:rPr>
          <w:rFonts w:asciiTheme="minorHAnsi" w:hAnsiTheme="minorHAnsi" w:cstheme="minorHAnsi"/>
          <w:color w:val="auto"/>
          <w:sz w:val="22"/>
          <w:szCs w:val="22"/>
          <w:lang w:eastAsia="ja-JP"/>
        </w:rPr>
        <w:t xml:space="preserve"> </w:t>
      </w:r>
      <w:r w:rsidR="00EB525F" w:rsidRPr="007F3848">
        <w:rPr>
          <w:rFonts w:asciiTheme="minorHAnsi" w:hAnsiTheme="minorHAnsi" w:cstheme="minorHAnsi"/>
          <w:color w:val="auto"/>
          <w:sz w:val="22"/>
          <w:szCs w:val="22"/>
          <w:lang w:eastAsia="ja-JP"/>
        </w:rPr>
        <w:t>-</w:t>
      </w:r>
      <w:r w:rsidR="004F6464" w:rsidRPr="007F3848">
        <w:rPr>
          <w:rFonts w:asciiTheme="minorHAnsi" w:hAnsiTheme="minorHAnsi" w:cstheme="minorHAnsi"/>
          <w:color w:val="auto"/>
          <w:sz w:val="22"/>
          <w:szCs w:val="22"/>
          <w:lang w:eastAsia="ja-JP"/>
        </w:rPr>
        <w:t xml:space="preserve"> </w:t>
      </w:r>
      <w:r w:rsidR="00EB525F" w:rsidRPr="007F3848">
        <w:rPr>
          <w:rFonts w:asciiTheme="minorHAnsi" w:hAnsiTheme="minorHAnsi" w:cstheme="minorHAnsi"/>
          <w:color w:val="auto"/>
          <w:sz w:val="22"/>
          <w:szCs w:val="22"/>
          <w:lang w:eastAsia="ja-JP"/>
        </w:rPr>
        <w:t>14.0</w:t>
      </w:r>
      <w:r w:rsidR="004F6464" w:rsidRPr="007F3848">
        <w:rPr>
          <w:rFonts w:asciiTheme="minorHAnsi" w:hAnsiTheme="minorHAnsi" w:cstheme="minorHAnsi"/>
          <w:color w:val="auto"/>
          <w:sz w:val="22"/>
          <w:szCs w:val="22"/>
          <w:lang w:eastAsia="ja-JP"/>
        </w:rPr>
        <w:t xml:space="preserve"> </w:t>
      </w:r>
      <w:r w:rsidR="00EB525F" w:rsidRPr="007F3848">
        <w:rPr>
          <w:rFonts w:asciiTheme="minorHAnsi" w:hAnsiTheme="minorHAnsi" w:cstheme="minorHAnsi"/>
          <w:color w:val="auto"/>
          <w:sz w:val="22"/>
          <w:szCs w:val="22"/>
          <w:lang w:eastAsia="ja-JP"/>
        </w:rPr>
        <w:t xml:space="preserve">GHz </w:t>
      </w:r>
      <w:r w:rsidR="004F6464" w:rsidRPr="007F3848">
        <w:rPr>
          <w:rFonts w:asciiTheme="minorHAnsi" w:hAnsiTheme="minorHAnsi" w:cstheme="minorHAnsi"/>
          <w:color w:val="auto"/>
          <w:sz w:val="22"/>
          <w:szCs w:val="22"/>
          <w:lang w:eastAsia="ja-JP"/>
        </w:rPr>
        <w:t xml:space="preserve">is on the </w:t>
      </w:r>
      <w:r w:rsidR="00F47CE8">
        <w:rPr>
          <w:rFonts w:asciiTheme="minorHAnsi" w:hAnsiTheme="minorHAnsi" w:cstheme="minorHAnsi"/>
          <w:color w:val="auto"/>
          <w:sz w:val="22"/>
          <w:szCs w:val="22"/>
          <w:lang w:eastAsia="ja-JP"/>
        </w:rPr>
        <w:t xml:space="preserve">WRC-27 </w:t>
      </w:r>
      <w:r w:rsidR="004F6464" w:rsidRPr="007F3848">
        <w:rPr>
          <w:rFonts w:asciiTheme="minorHAnsi" w:hAnsiTheme="minorHAnsi" w:cstheme="minorHAnsi"/>
          <w:color w:val="auto"/>
          <w:sz w:val="22"/>
          <w:szCs w:val="22"/>
          <w:lang w:eastAsia="ja-JP"/>
        </w:rPr>
        <w:t xml:space="preserve">agenda and may </w:t>
      </w:r>
      <w:r w:rsidR="00311988" w:rsidRPr="007F3848">
        <w:rPr>
          <w:rFonts w:asciiTheme="minorHAnsi" w:hAnsiTheme="minorHAnsi" w:cstheme="minorHAnsi"/>
          <w:color w:val="auto"/>
          <w:sz w:val="22"/>
          <w:szCs w:val="22"/>
          <w:lang w:eastAsia="ja-JP"/>
        </w:rPr>
        <w:t xml:space="preserve">consider </w:t>
      </w:r>
      <w:r w:rsidR="004F6464" w:rsidRPr="007F3848">
        <w:rPr>
          <w:rFonts w:asciiTheme="minorHAnsi" w:hAnsiTheme="minorHAnsi" w:cstheme="minorHAnsi"/>
          <w:color w:val="auto"/>
          <w:sz w:val="22"/>
          <w:szCs w:val="22"/>
          <w:lang w:eastAsia="ja-JP"/>
        </w:rPr>
        <w:t xml:space="preserve">a </w:t>
      </w:r>
      <w:r w:rsidR="00311988" w:rsidRPr="007F3848">
        <w:rPr>
          <w:rFonts w:asciiTheme="minorHAnsi" w:hAnsiTheme="minorHAnsi" w:cstheme="minorHAnsi"/>
          <w:color w:val="auto"/>
          <w:sz w:val="22"/>
          <w:szCs w:val="22"/>
          <w:lang w:eastAsia="ja-JP"/>
        </w:rPr>
        <w:t>smaller terminal size</w:t>
      </w:r>
      <w:r w:rsidR="00FC2579" w:rsidRPr="007F3848">
        <w:rPr>
          <w:rFonts w:asciiTheme="minorHAnsi" w:hAnsiTheme="minorHAnsi" w:cstheme="minorHAnsi"/>
          <w:color w:val="auto"/>
          <w:sz w:val="22"/>
          <w:szCs w:val="22"/>
          <w:lang w:eastAsia="ja-JP"/>
        </w:rPr>
        <w:t>.</w:t>
      </w:r>
      <w:r w:rsidR="00EB525F" w:rsidRPr="007F3848">
        <w:rPr>
          <w:rFonts w:asciiTheme="minorHAnsi" w:hAnsiTheme="minorHAnsi" w:cstheme="minorHAnsi"/>
          <w:color w:val="auto"/>
          <w:sz w:val="22"/>
          <w:szCs w:val="22"/>
          <w:lang w:eastAsia="ja-JP"/>
        </w:rPr>
        <w:t xml:space="preserve"> </w:t>
      </w:r>
    </w:p>
    <w:p w14:paraId="6F006DD4" w14:textId="607673D9" w:rsidR="005B5110" w:rsidRPr="007F3848" w:rsidRDefault="00372C28" w:rsidP="00F47CE8">
      <w:pPr>
        <w:pStyle w:val="Heading2"/>
        <w:ind w:left="720"/>
        <w:rPr>
          <w:rFonts w:asciiTheme="minorHAnsi" w:hAnsiTheme="minorHAnsi" w:cstheme="minorHAnsi"/>
          <w:color w:val="auto"/>
          <w:sz w:val="22"/>
          <w:szCs w:val="22"/>
          <w:lang w:eastAsia="ja-JP"/>
        </w:rPr>
      </w:pPr>
      <w:r w:rsidRPr="00F47CE8">
        <w:rPr>
          <w:rFonts w:asciiTheme="minorHAnsi" w:hAnsiTheme="minorHAnsi" w:cstheme="minorHAnsi"/>
          <w:b/>
          <w:bCs/>
          <w:color w:val="auto"/>
          <w:sz w:val="22"/>
          <w:szCs w:val="22"/>
          <w:lang w:eastAsia="ja-JP"/>
        </w:rPr>
        <w:t>Note 5</w:t>
      </w:r>
      <w:r w:rsidR="00CA1D38" w:rsidRPr="00F47CE8">
        <w:rPr>
          <w:rFonts w:asciiTheme="minorHAnsi" w:hAnsiTheme="minorHAnsi" w:cstheme="minorHAnsi"/>
          <w:b/>
          <w:bCs/>
          <w:color w:val="auto"/>
          <w:sz w:val="22"/>
          <w:szCs w:val="22"/>
          <w:lang w:eastAsia="ja-JP"/>
        </w:rPr>
        <w:t>:</w:t>
      </w:r>
      <w:r w:rsidRPr="007F3848">
        <w:rPr>
          <w:rFonts w:asciiTheme="minorHAnsi" w:hAnsiTheme="minorHAnsi" w:cstheme="minorHAnsi"/>
          <w:color w:val="auto"/>
          <w:sz w:val="22"/>
          <w:szCs w:val="22"/>
          <w:lang w:eastAsia="ja-JP"/>
        </w:rPr>
        <w:t xml:space="preserve"> Future IMT study band 14.8-15.35 GHz</w:t>
      </w:r>
      <w:r w:rsidR="00F47CE8">
        <w:rPr>
          <w:rFonts w:asciiTheme="minorHAnsi" w:hAnsiTheme="minorHAnsi" w:cstheme="minorHAnsi"/>
          <w:color w:val="auto"/>
          <w:sz w:val="22"/>
          <w:szCs w:val="22"/>
          <w:lang w:eastAsia="ja-JP"/>
        </w:rPr>
        <w:t xml:space="preserve">. </w:t>
      </w:r>
      <w:r w:rsidR="005B5110" w:rsidRPr="007F3848">
        <w:rPr>
          <w:rFonts w:asciiTheme="minorHAnsi" w:hAnsiTheme="minorHAnsi" w:cstheme="minorHAnsi"/>
          <w:color w:val="auto"/>
          <w:sz w:val="22"/>
          <w:szCs w:val="22"/>
          <w:lang w:eastAsia="ja-JP"/>
        </w:rPr>
        <w:t>The set of future IMT study bands on the agenda for WRC</w:t>
      </w:r>
      <w:r w:rsidR="0077330F" w:rsidRPr="007F3848">
        <w:rPr>
          <w:rFonts w:asciiTheme="minorHAnsi" w:hAnsiTheme="minorHAnsi" w:cstheme="minorHAnsi"/>
          <w:color w:val="auto"/>
          <w:sz w:val="22"/>
          <w:szCs w:val="22"/>
          <w:lang w:eastAsia="ja-JP"/>
        </w:rPr>
        <w:t>-</w:t>
      </w:r>
      <w:r w:rsidR="005B5110" w:rsidRPr="007F3848">
        <w:rPr>
          <w:rFonts w:asciiTheme="minorHAnsi" w:hAnsiTheme="minorHAnsi" w:cstheme="minorHAnsi"/>
          <w:color w:val="auto"/>
          <w:sz w:val="22"/>
          <w:szCs w:val="22"/>
          <w:lang w:eastAsia="ja-JP"/>
        </w:rPr>
        <w:t>27 are as follows. All proposals to consider IMT within the Ku band frequency range were rejected at WRC-23.</w:t>
      </w:r>
    </w:p>
    <w:p w14:paraId="4F462B69" w14:textId="755E847C" w:rsidR="005B5110" w:rsidRDefault="005B5110" w:rsidP="00F47CE8">
      <w:pPr>
        <w:jc w:val="center"/>
        <w:rPr>
          <w:i/>
          <w:iCs/>
          <w:lang w:eastAsia="ja-JP"/>
        </w:rPr>
      </w:pPr>
      <w:r w:rsidRPr="00FC2579">
        <w:rPr>
          <w:i/>
          <w:iCs/>
          <w:noProof/>
          <w:lang w:eastAsia="ja-JP"/>
        </w:rPr>
        <w:drawing>
          <wp:inline distT="0" distB="0" distL="0" distR="0" wp14:anchorId="460D87FA" wp14:editId="06C30DC3">
            <wp:extent cx="4829859" cy="1002253"/>
            <wp:effectExtent l="0" t="0" r="0" b="7620"/>
            <wp:docPr id="966568403"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68403" name="Picture 1" descr="A white background with black text&#10;&#10;Description automatically generated"/>
                    <pic:cNvPicPr/>
                  </pic:nvPicPr>
                  <pic:blipFill>
                    <a:blip r:embed="rId10"/>
                    <a:stretch>
                      <a:fillRect/>
                    </a:stretch>
                  </pic:blipFill>
                  <pic:spPr>
                    <a:xfrm>
                      <a:off x="0" y="0"/>
                      <a:ext cx="4978910" cy="1033183"/>
                    </a:xfrm>
                    <a:prstGeom prst="rect">
                      <a:avLst/>
                    </a:prstGeom>
                  </pic:spPr>
                </pic:pic>
              </a:graphicData>
            </a:graphic>
          </wp:inline>
        </w:drawing>
      </w:r>
    </w:p>
    <w:p w14:paraId="1CF735D5" w14:textId="763910A1" w:rsidR="00DD25DE" w:rsidRPr="00F47CE8" w:rsidRDefault="00DD25DE" w:rsidP="00DD25DE">
      <w:pPr>
        <w:pStyle w:val="Heading2"/>
        <w:rPr>
          <w:rFonts w:asciiTheme="minorHAnsi" w:hAnsiTheme="minorHAnsi" w:cstheme="minorHAnsi"/>
          <w:sz w:val="22"/>
          <w:szCs w:val="22"/>
          <w:lang w:eastAsia="ja-JP"/>
        </w:rPr>
      </w:pPr>
      <w:r w:rsidRPr="00F47CE8">
        <w:rPr>
          <w:rFonts w:asciiTheme="minorHAnsi" w:hAnsiTheme="minorHAnsi" w:cstheme="minorHAnsi"/>
          <w:sz w:val="22"/>
          <w:szCs w:val="22"/>
          <w:lang w:eastAsia="ja-JP"/>
        </w:rPr>
        <w:t>G</w:t>
      </w:r>
      <w:r w:rsidR="00CA1D38" w:rsidRPr="00F47CE8">
        <w:rPr>
          <w:rFonts w:asciiTheme="minorHAnsi" w:hAnsiTheme="minorHAnsi" w:cstheme="minorHAnsi"/>
          <w:sz w:val="22"/>
          <w:szCs w:val="22"/>
          <w:lang w:eastAsia="ja-JP"/>
        </w:rPr>
        <w:t>EO A</w:t>
      </w:r>
      <w:r w:rsidRPr="00F47CE8">
        <w:rPr>
          <w:rFonts w:asciiTheme="minorHAnsi" w:hAnsiTheme="minorHAnsi" w:cstheme="minorHAnsi"/>
          <w:sz w:val="22"/>
          <w:szCs w:val="22"/>
          <w:lang w:eastAsia="ja-JP"/>
        </w:rPr>
        <w:t>rc protection</w:t>
      </w:r>
      <w:r w:rsidR="002A1739" w:rsidRPr="00F47CE8">
        <w:rPr>
          <w:rFonts w:asciiTheme="minorHAnsi" w:hAnsiTheme="minorHAnsi" w:cstheme="minorHAnsi"/>
          <w:sz w:val="22"/>
          <w:szCs w:val="22"/>
          <w:lang w:eastAsia="ja-JP"/>
        </w:rPr>
        <w:t xml:space="preserve"> applies across </w:t>
      </w:r>
      <w:r w:rsidR="00A75643" w:rsidRPr="00F47CE8">
        <w:rPr>
          <w:rFonts w:asciiTheme="minorHAnsi" w:hAnsiTheme="minorHAnsi" w:cstheme="minorHAnsi"/>
          <w:sz w:val="22"/>
          <w:szCs w:val="22"/>
          <w:lang w:eastAsia="ja-JP"/>
        </w:rPr>
        <w:t>all FR2-NTN bands with directive VSAT UEs</w:t>
      </w:r>
    </w:p>
    <w:p w14:paraId="0B9AC9FA" w14:textId="293980AF" w:rsidR="00715892" w:rsidRPr="00F47CE8" w:rsidRDefault="001C7EB8" w:rsidP="00715892">
      <w:pPr>
        <w:rPr>
          <w:rFonts w:cstheme="minorHAnsi"/>
          <w:lang w:eastAsia="ja-JP"/>
        </w:rPr>
      </w:pPr>
      <w:r w:rsidRPr="00F47CE8">
        <w:rPr>
          <w:rFonts w:cstheme="minorHAnsi"/>
          <w:lang w:eastAsia="ja-JP"/>
        </w:rPr>
        <w:t xml:space="preserve">Where </w:t>
      </w:r>
      <w:r w:rsidR="00311988" w:rsidRPr="00F47CE8">
        <w:rPr>
          <w:rFonts w:cstheme="minorHAnsi"/>
          <w:lang w:eastAsia="ja-JP"/>
        </w:rPr>
        <w:t>RR Article 22.2 applie</w:t>
      </w:r>
      <w:r w:rsidR="00F47CE8">
        <w:rPr>
          <w:rFonts w:cstheme="minorHAnsi"/>
          <w:lang w:eastAsia="ja-JP"/>
        </w:rPr>
        <w:t>s</w:t>
      </w:r>
      <w:r w:rsidRPr="00F47CE8">
        <w:rPr>
          <w:rFonts w:cstheme="minorHAnsi"/>
          <w:lang w:eastAsia="ja-JP"/>
        </w:rPr>
        <w:t xml:space="preserve">, GSO can claim protection from NGSO. In practice this means </w:t>
      </w:r>
      <w:r w:rsidR="001A22AE" w:rsidRPr="00F47CE8">
        <w:rPr>
          <w:rFonts w:cstheme="minorHAnsi"/>
          <w:lang w:eastAsia="ja-JP"/>
        </w:rPr>
        <w:t>neither NGSO SAN nor UE can tra</w:t>
      </w:r>
      <w:r w:rsidR="00715892" w:rsidRPr="00F47CE8">
        <w:rPr>
          <w:rFonts w:cstheme="minorHAnsi"/>
          <w:lang w:eastAsia="ja-JP"/>
        </w:rPr>
        <w:t>ns</w:t>
      </w:r>
      <w:r w:rsidR="001A22AE" w:rsidRPr="00F47CE8">
        <w:rPr>
          <w:rFonts w:cstheme="minorHAnsi"/>
          <w:lang w:eastAsia="ja-JP"/>
        </w:rPr>
        <w:t xml:space="preserve">mit to each other when aligned with </w:t>
      </w:r>
      <w:r w:rsidR="00F47CE8">
        <w:rPr>
          <w:rFonts w:cstheme="minorHAnsi"/>
          <w:lang w:eastAsia="ja-JP"/>
        </w:rPr>
        <w:t xml:space="preserve">a </w:t>
      </w:r>
      <w:r w:rsidR="001A22AE" w:rsidRPr="00F47CE8">
        <w:rPr>
          <w:rFonts w:cstheme="minorHAnsi"/>
          <w:lang w:eastAsia="ja-JP"/>
        </w:rPr>
        <w:t>GSO</w:t>
      </w:r>
      <w:r w:rsidR="00311988" w:rsidRPr="00F47CE8">
        <w:rPr>
          <w:rFonts w:cstheme="minorHAnsi"/>
          <w:lang w:eastAsia="ja-JP"/>
        </w:rPr>
        <w:t xml:space="preserve"> arc.</w:t>
      </w:r>
    </w:p>
    <w:p w14:paraId="350D86C7" w14:textId="77777777" w:rsidR="00752458" w:rsidRPr="00DD25DE" w:rsidRDefault="00752458" w:rsidP="00DD25DE">
      <w:pPr>
        <w:rPr>
          <w:lang w:eastAsia="ja-JP"/>
        </w:rPr>
      </w:pPr>
    </w:p>
    <w:p w14:paraId="3B8AA66F" w14:textId="1E0A74EB" w:rsidR="00AA5A24" w:rsidRDefault="00666F4F" w:rsidP="00AA5A24">
      <w:pPr>
        <w:pStyle w:val="Heading1"/>
      </w:pPr>
      <w:r>
        <w:t>Ku band definition</w:t>
      </w:r>
    </w:p>
    <w:p w14:paraId="54B5EFBA" w14:textId="77777777" w:rsidR="00F47CE8" w:rsidRDefault="00F47CE8" w:rsidP="00B54C05">
      <w:pPr>
        <w:rPr>
          <w:lang w:eastAsia="ja-JP"/>
        </w:rPr>
      </w:pPr>
    </w:p>
    <w:p w14:paraId="274D9202" w14:textId="3F737BFF" w:rsidR="00B54C05" w:rsidRPr="00B54C05" w:rsidRDefault="00F47CE8" w:rsidP="00B54C05">
      <w:pPr>
        <w:rPr>
          <w:lang w:eastAsia="ja-JP"/>
        </w:rPr>
      </w:pPr>
      <w:r>
        <w:rPr>
          <w:lang w:eastAsia="ja-JP"/>
        </w:rPr>
        <w:t xml:space="preserve">Due to the split uplink, antenna size </w:t>
      </w:r>
      <w:r w:rsidR="007529F7">
        <w:rPr>
          <w:lang w:eastAsia="ja-JP"/>
        </w:rPr>
        <w:t>restrictions</w:t>
      </w:r>
      <w:r>
        <w:rPr>
          <w:lang w:eastAsia="ja-JP"/>
        </w:rPr>
        <w:t xml:space="preserve"> and variations between regions on the 12.7 G</w:t>
      </w:r>
      <w:r w:rsidR="007529F7">
        <w:rPr>
          <w:lang w:eastAsia="ja-JP"/>
        </w:rPr>
        <w:t>H</w:t>
      </w:r>
      <w:r>
        <w:rPr>
          <w:lang w:eastAsia="ja-JP"/>
        </w:rPr>
        <w:t xml:space="preserve">z or 12.75 GHz boundary the </w:t>
      </w:r>
      <w:r w:rsidR="007529F7">
        <w:rPr>
          <w:lang w:eastAsia="ja-JP"/>
        </w:rPr>
        <w:t>mapping</w:t>
      </w:r>
      <w:r>
        <w:rPr>
          <w:lang w:eastAsia="ja-JP"/>
        </w:rPr>
        <w:t xml:space="preserve"> of 3GPP bands </w:t>
      </w:r>
      <w:r w:rsidR="007529F7">
        <w:rPr>
          <w:lang w:eastAsia="ja-JP"/>
        </w:rPr>
        <w:t xml:space="preserve">onto the Ku frequency range is not straightforward so will </w:t>
      </w:r>
      <w:r>
        <w:rPr>
          <w:lang w:eastAsia="ja-JP"/>
        </w:rPr>
        <w:t xml:space="preserve">be confirmed as part of the </w:t>
      </w:r>
      <w:r w:rsidR="007529F7">
        <w:rPr>
          <w:lang w:eastAsia="ja-JP"/>
        </w:rPr>
        <w:t>new WI in [5].</w:t>
      </w:r>
    </w:p>
    <w:p w14:paraId="6B9D0A50" w14:textId="0E16C0F2" w:rsidR="00404521" w:rsidRPr="00EC1156" w:rsidRDefault="00EC1156" w:rsidP="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eastAsia="ja-JP"/>
          <w14:ligatures w14:val="none"/>
        </w:rPr>
      </w:pPr>
      <w:r>
        <w:rPr>
          <w:rFonts w:ascii="Arial" w:eastAsia="Times New Roman" w:hAnsi="Arial" w:cs="Times New Roman"/>
          <w:kern w:val="0"/>
          <w:sz w:val="36"/>
          <w:szCs w:val="20"/>
          <w:lang w:eastAsia="ja-JP"/>
          <w14:ligatures w14:val="none"/>
        </w:rPr>
        <w:lastRenderedPageBreak/>
        <w:t>References</w:t>
      </w:r>
    </w:p>
    <w:p w14:paraId="5DD350C7" w14:textId="074C362A" w:rsidR="007529F7" w:rsidRDefault="007529F7" w:rsidP="004220EC">
      <w:r>
        <w:t xml:space="preserve">[1] R4-240516 Regulatory status of </w:t>
      </w:r>
      <w:r w:rsidRPr="008D4B4B">
        <w:t>NTN in bands above 10</w:t>
      </w:r>
      <w:r>
        <w:t xml:space="preserve"> </w:t>
      </w:r>
      <w:r w:rsidRPr="008D4B4B">
        <w:t>GHz</w:t>
      </w:r>
      <w:r>
        <w:t xml:space="preserve"> post WRC-23 (</w:t>
      </w:r>
      <w:r w:rsidRPr="00083236">
        <w:t>Eutelsat Group, RAN4#110</w:t>
      </w:r>
      <w:r>
        <w:t>,</w:t>
      </w:r>
      <w:r w:rsidRPr="00083236">
        <w:t xml:space="preserve"> Athens</w:t>
      </w:r>
      <w:r>
        <w:t>)</w:t>
      </w:r>
    </w:p>
    <w:p w14:paraId="2FA6AD17" w14:textId="72E2C715" w:rsidR="00AC1FC6" w:rsidRDefault="00AC1FC6" w:rsidP="004220EC">
      <w:r>
        <w:t>[</w:t>
      </w:r>
      <w:r w:rsidR="007529F7">
        <w:t>2</w:t>
      </w:r>
      <w:r>
        <w:t xml:space="preserve">] RP-232732 </w:t>
      </w:r>
      <w:r w:rsidRPr="00AC1FC6">
        <w:t>3GPP NTN Based Satellite Networks</w:t>
      </w:r>
      <w:r w:rsidR="0064419B">
        <w:t xml:space="preserve"> </w:t>
      </w:r>
      <w:r w:rsidRPr="00AC1FC6">
        <w:t>-</w:t>
      </w:r>
      <w:r w:rsidR="0064419B">
        <w:t xml:space="preserve"> </w:t>
      </w:r>
      <w:r w:rsidRPr="00AC1FC6">
        <w:t>Deployment Considerations</w:t>
      </w:r>
      <w:r w:rsidR="006A1F9E">
        <w:t xml:space="preserve"> </w:t>
      </w:r>
      <w:r w:rsidR="00250D36">
        <w:t>(</w:t>
      </w:r>
      <w:bookmarkStart w:id="1" w:name="_Hlk158937779"/>
      <w:r w:rsidR="00250D36">
        <w:t>GSOA</w:t>
      </w:r>
      <w:r w:rsidR="00FE5635">
        <w:t>,</w:t>
      </w:r>
      <w:r w:rsidR="00215A59">
        <w:t xml:space="preserve"> RAN#102</w:t>
      </w:r>
      <w:r w:rsidR="009A257E">
        <w:t>,</w:t>
      </w:r>
      <w:r w:rsidR="00250D36">
        <w:t xml:space="preserve"> </w:t>
      </w:r>
      <w:bookmarkStart w:id="2" w:name="_Hlk158937738"/>
      <w:r w:rsidR="00FE5635">
        <w:t>Edinburgh</w:t>
      </w:r>
      <w:bookmarkEnd w:id="1"/>
      <w:bookmarkEnd w:id="2"/>
      <w:r w:rsidR="00250D36">
        <w:t>)</w:t>
      </w:r>
    </w:p>
    <w:p w14:paraId="3BFD5C25" w14:textId="00FC78A1" w:rsidR="00016442" w:rsidRDefault="00016442" w:rsidP="00016442">
      <w:r>
        <w:t>[</w:t>
      </w:r>
      <w:r w:rsidR="007529F7">
        <w:t>3</w:t>
      </w:r>
      <w:r>
        <w:t xml:space="preserve">] </w:t>
      </w:r>
      <w:bookmarkStart w:id="3" w:name="_Hlk158936599"/>
      <w:r>
        <w:t>World Radiocommunication Conference 2023 (WRC-23) Provisional Final Acts</w:t>
      </w:r>
      <w:r w:rsidR="00FE5635">
        <w:t xml:space="preserve"> (ITU WRC</w:t>
      </w:r>
      <w:r w:rsidR="009A257E">
        <w:t>,</w:t>
      </w:r>
      <w:r w:rsidR="00FE5635">
        <w:t xml:space="preserve"> </w:t>
      </w:r>
      <w:r>
        <w:t>Dubai</w:t>
      </w:r>
      <w:r w:rsidR="00FE5635">
        <w:t xml:space="preserve"> 2023)</w:t>
      </w:r>
      <w:bookmarkEnd w:id="3"/>
    </w:p>
    <w:p w14:paraId="623ABC1E" w14:textId="70AC5FAC" w:rsidR="00016442" w:rsidRDefault="00640D8F" w:rsidP="0077330F">
      <w:r>
        <w:t>[</w:t>
      </w:r>
      <w:r w:rsidR="007529F7">
        <w:t>4</w:t>
      </w:r>
      <w:r>
        <w:t xml:space="preserve">] </w:t>
      </w:r>
      <w:r w:rsidR="0063097C" w:rsidRPr="0063097C">
        <w:t>R4-2400511</w:t>
      </w:r>
      <w:r w:rsidR="00083236">
        <w:t xml:space="preserve"> </w:t>
      </w:r>
      <w:r w:rsidR="00083236" w:rsidRPr="00083236">
        <w:t xml:space="preserve">Motivation to support mobile VSAT in NGSO deployment scenarios </w:t>
      </w:r>
      <w:r w:rsidR="00DC0155">
        <w:t>(</w:t>
      </w:r>
      <w:r w:rsidR="00083236" w:rsidRPr="00083236">
        <w:t>Eutelsat Group, RAN4#110</w:t>
      </w:r>
      <w:r w:rsidR="009A257E">
        <w:t>,</w:t>
      </w:r>
      <w:r w:rsidR="00083236" w:rsidRPr="00083236">
        <w:t xml:space="preserve"> Athens</w:t>
      </w:r>
      <w:r w:rsidR="00DC0155">
        <w:t>)</w:t>
      </w:r>
    </w:p>
    <w:p w14:paraId="22A41FB3" w14:textId="02BC4B03" w:rsidR="007529F7" w:rsidRDefault="007529F7" w:rsidP="0077330F">
      <w:r>
        <w:t xml:space="preserve">[5] RP-241690 </w:t>
      </w:r>
      <w:r w:rsidRPr="007529F7">
        <w:t>New WID on Introduction of Ku Band for NR NTN</w:t>
      </w:r>
      <w:r>
        <w:t xml:space="preserve"> (</w:t>
      </w:r>
      <w:r w:rsidRPr="007529F7">
        <w:t>Intelsat, Eutelsat Group, Thales, CHTTL, Hispasat</w:t>
      </w:r>
      <w:r>
        <w:t xml:space="preserve"> RAN #104 Shanghai)</w:t>
      </w:r>
    </w:p>
    <w:sectPr w:rsidR="007529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94700"/>
    <w:multiLevelType w:val="hybridMultilevel"/>
    <w:tmpl w:val="39D87656"/>
    <w:lvl w:ilvl="0" w:tplc="CECAD30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F27239"/>
    <w:multiLevelType w:val="hybridMultilevel"/>
    <w:tmpl w:val="8CDE8A74"/>
    <w:lvl w:ilvl="0" w:tplc="F90E3C14">
      <w:start w:val="1"/>
      <w:numFmt w:val="bullet"/>
      <w:lvlText w:val="•"/>
      <w:lvlJc w:val="left"/>
      <w:pPr>
        <w:tabs>
          <w:tab w:val="num" w:pos="720"/>
        </w:tabs>
        <w:ind w:left="720" w:hanging="360"/>
      </w:pPr>
      <w:rPr>
        <w:rFonts w:ascii="Arial" w:hAnsi="Arial" w:hint="default"/>
      </w:rPr>
    </w:lvl>
    <w:lvl w:ilvl="1" w:tplc="2AAEA310" w:tentative="1">
      <w:start w:val="1"/>
      <w:numFmt w:val="bullet"/>
      <w:lvlText w:val="•"/>
      <w:lvlJc w:val="left"/>
      <w:pPr>
        <w:tabs>
          <w:tab w:val="num" w:pos="1440"/>
        </w:tabs>
        <w:ind w:left="1440" w:hanging="360"/>
      </w:pPr>
      <w:rPr>
        <w:rFonts w:ascii="Arial" w:hAnsi="Arial" w:hint="default"/>
      </w:rPr>
    </w:lvl>
    <w:lvl w:ilvl="2" w:tplc="33FC9602" w:tentative="1">
      <w:start w:val="1"/>
      <w:numFmt w:val="bullet"/>
      <w:lvlText w:val="•"/>
      <w:lvlJc w:val="left"/>
      <w:pPr>
        <w:tabs>
          <w:tab w:val="num" w:pos="2160"/>
        </w:tabs>
        <w:ind w:left="2160" w:hanging="360"/>
      </w:pPr>
      <w:rPr>
        <w:rFonts w:ascii="Arial" w:hAnsi="Arial" w:hint="default"/>
      </w:rPr>
    </w:lvl>
    <w:lvl w:ilvl="3" w:tplc="31F8413C" w:tentative="1">
      <w:start w:val="1"/>
      <w:numFmt w:val="bullet"/>
      <w:lvlText w:val="•"/>
      <w:lvlJc w:val="left"/>
      <w:pPr>
        <w:tabs>
          <w:tab w:val="num" w:pos="2880"/>
        </w:tabs>
        <w:ind w:left="2880" w:hanging="360"/>
      </w:pPr>
      <w:rPr>
        <w:rFonts w:ascii="Arial" w:hAnsi="Arial" w:hint="default"/>
      </w:rPr>
    </w:lvl>
    <w:lvl w:ilvl="4" w:tplc="EFB20B76" w:tentative="1">
      <w:start w:val="1"/>
      <w:numFmt w:val="bullet"/>
      <w:lvlText w:val="•"/>
      <w:lvlJc w:val="left"/>
      <w:pPr>
        <w:tabs>
          <w:tab w:val="num" w:pos="3600"/>
        </w:tabs>
        <w:ind w:left="3600" w:hanging="360"/>
      </w:pPr>
      <w:rPr>
        <w:rFonts w:ascii="Arial" w:hAnsi="Arial" w:hint="default"/>
      </w:rPr>
    </w:lvl>
    <w:lvl w:ilvl="5" w:tplc="FBDCE3E8" w:tentative="1">
      <w:start w:val="1"/>
      <w:numFmt w:val="bullet"/>
      <w:lvlText w:val="•"/>
      <w:lvlJc w:val="left"/>
      <w:pPr>
        <w:tabs>
          <w:tab w:val="num" w:pos="4320"/>
        </w:tabs>
        <w:ind w:left="4320" w:hanging="360"/>
      </w:pPr>
      <w:rPr>
        <w:rFonts w:ascii="Arial" w:hAnsi="Arial" w:hint="default"/>
      </w:rPr>
    </w:lvl>
    <w:lvl w:ilvl="6" w:tplc="E34A2CD8" w:tentative="1">
      <w:start w:val="1"/>
      <w:numFmt w:val="bullet"/>
      <w:lvlText w:val="•"/>
      <w:lvlJc w:val="left"/>
      <w:pPr>
        <w:tabs>
          <w:tab w:val="num" w:pos="5040"/>
        </w:tabs>
        <w:ind w:left="5040" w:hanging="360"/>
      </w:pPr>
      <w:rPr>
        <w:rFonts w:ascii="Arial" w:hAnsi="Arial" w:hint="default"/>
      </w:rPr>
    </w:lvl>
    <w:lvl w:ilvl="7" w:tplc="C988EAF4" w:tentative="1">
      <w:start w:val="1"/>
      <w:numFmt w:val="bullet"/>
      <w:lvlText w:val="•"/>
      <w:lvlJc w:val="left"/>
      <w:pPr>
        <w:tabs>
          <w:tab w:val="num" w:pos="5760"/>
        </w:tabs>
        <w:ind w:left="5760" w:hanging="360"/>
      </w:pPr>
      <w:rPr>
        <w:rFonts w:ascii="Arial" w:hAnsi="Arial" w:hint="default"/>
      </w:rPr>
    </w:lvl>
    <w:lvl w:ilvl="8" w:tplc="1E60D2C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B664CF"/>
    <w:multiLevelType w:val="hybridMultilevel"/>
    <w:tmpl w:val="50AE733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010566514">
    <w:abstractNumId w:val="1"/>
  </w:num>
  <w:num w:numId="2" w16cid:durableId="1479764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9109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CB6"/>
    <w:rsid w:val="00016442"/>
    <w:rsid w:val="00066A6C"/>
    <w:rsid w:val="00081514"/>
    <w:rsid w:val="00083236"/>
    <w:rsid w:val="00085C0E"/>
    <w:rsid w:val="00094EEA"/>
    <w:rsid w:val="001112CA"/>
    <w:rsid w:val="0014111A"/>
    <w:rsid w:val="00146942"/>
    <w:rsid w:val="00151DF2"/>
    <w:rsid w:val="001A22AE"/>
    <w:rsid w:val="001A5702"/>
    <w:rsid w:val="001C7EB8"/>
    <w:rsid w:val="001D2EA9"/>
    <w:rsid w:val="00215A59"/>
    <w:rsid w:val="002223DA"/>
    <w:rsid w:val="00250D36"/>
    <w:rsid w:val="00255407"/>
    <w:rsid w:val="002647AF"/>
    <w:rsid w:val="00265DBD"/>
    <w:rsid w:val="002854FD"/>
    <w:rsid w:val="00287CA4"/>
    <w:rsid w:val="00291EF1"/>
    <w:rsid w:val="002A1739"/>
    <w:rsid w:val="002B0EF4"/>
    <w:rsid w:val="002B350C"/>
    <w:rsid w:val="002C414C"/>
    <w:rsid w:val="002D3A6C"/>
    <w:rsid w:val="002E2349"/>
    <w:rsid w:val="002E6501"/>
    <w:rsid w:val="002F4DA0"/>
    <w:rsid w:val="00311988"/>
    <w:rsid w:val="00315547"/>
    <w:rsid w:val="00333DB8"/>
    <w:rsid w:val="003359B6"/>
    <w:rsid w:val="00336BBA"/>
    <w:rsid w:val="00343FAA"/>
    <w:rsid w:val="0035395E"/>
    <w:rsid w:val="00372C28"/>
    <w:rsid w:val="00390DFF"/>
    <w:rsid w:val="003A0344"/>
    <w:rsid w:val="003D51B4"/>
    <w:rsid w:val="003F36DE"/>
    <w:rsid w:val="00404521"/>
    <w:rsid w:val="00416765"/>
    <w:rsid w:val="004220EC"/>
    <w:rsid w:val="004226B4"/>
    <w:rsid w:val="00440031"/>
    <w:rsid w:val="00442696"/>
    <w:rsid w:val="004C5396"/>
    <w:rsid w:val="004F6464"/>
    <w:rsid w:val="00513688"/>
    <w:rsid w:val="00522620"/>
    <w:rsid w:val="005414F4"/>
    <w:rsid w:val="00571DC4"/>
    <w:rsid w:val="005768AC"/>
    <w:rsid w:val="005A131E"/>
    <w:rsid w:val="005A47D5"/>
    <w:rsid w:val="005B158C"/>
    <w:rsid w:val="005B5110"/>
    <w:rsid w:val="005D0AAA"/>
    <w:rsid w:val="0063097C"/>
    <w:rsid w:val="00640D8F"/>
    <w:rsid w:val="0064419B"/>
    <w:rsid w:val="00650BEF"/>
    <w:rsid w:val="00661E48"/>
    <w:rsid w:val="00666F4F"/>
    <w:rsid w:val="00672B88"/>
    <w:rsid w:val="00692BC5"/>
    <w:rsid w:val="006A1F9E"/>
    <w:rsid w:val="00715892"/>
    <w:rsid w:val="00732EEB"/>
    <w:rsid w:val="00752458"/>
    <w:rsid w:val="007529F7"/>
    <w:rsid w:val="00753897"/>
    <w:rsid w:val="0077330F"/>
    <w:rsid w:val="007750FC"/>
    <w:rsid w:val="007A720B"/>
    <w:rsid w:val="007F3848"/>
    <w:rsid w:val="007F409E"/>
    <w:rsid w:val="008074FE"/>
    <w:rsid w:val="00820B02"/>
    <w:rsid w:val="0082225F"/>
    <w:rsid w:val="0083143A"/>
    <w:rsid w:val="0084669D"/>
    <w:rsid w:val="00855D80"/>
    <w:rsid w:val="00896C98"/>
    <w:rsid w:val="008A1AC6"/>
    <w:rsid w:val="008B5E63"/>
    <w:rsid w:val="008D0FD6"/>
    <w:rsid w:val="008D1CB6"/>
    <w:rsid w:val="008D4B4B"/>
    <w:rsid w:val="0091336B"/>
    <w:rsid w:val="00966823"/>
    <w:rsid w:val="009865EF"/>
    <w:rsid w:val="009A257E"/>
    <w:rsid w:val="00A3086D"/>
    <w:rsid w:val="00A36A6A"/>
    <w:rsid w:val="00A41381"/>
    <w:rsid w:val="00A501E5"/>
    <w:rsid w:val="00A63C52"/>
    <w:rsid w:val="00A6566D"/>
    <w:rsid w:val="00A73FAA"/>
    <w:rsid w:val="00A752A3"/>
    <w:rsid w:val="00A75643"/>
    <w:rsid w:val="00A815FD"/>
    <w:rsid w:val="00A9448A"/>
    <w:rsid w:val="00AA5A24"/>
    <w:rsid w:val="00AC1FC6"/>
    <w:rsid w:val="00AC4C51"/>
    <w:rsid w:val="00AF2E7E"/>
    <w:rsid w:val="00AF4EBB"/>
    <w:rsid w:val="00B11857"/>
    <w:rsid w:val="00B47443"/>
    <w:rsid w:val="00B54C05"/>
    <w:rsid w:val="00B76C7D"/>
    <w:rsid w:val="00BA429E"/>
    <w:rsid w:val="00BF6706"/>
    <w:rsid w:val="00C424DA"/>
    <w:rsid w:val="00C4666B"/>
    <w:rsid w:val="00CA1D38"/>
    <w:rsid w:val="00CB7414"/>
    <w:rsid w:val="00CC157C"/>
    <w:rsid w:val="00CD79C3"/>
    <w:rsid w:val="00D47119"/>
    <w:rsid w:val="00D71CE6"/>
    <w:rsid w:val="00D83A5D"/>
    <w:rsid w:val="00D8431D"/>
    <w:rsid w:val="00D96D57"/>
    <w:rsid w:val="00DB3CF8"/>
    <w:rsid w:val="00DC0155"/>
    <w:rsid w:val="00DD25DE"/>
    <w:rsid w:val="00DE55C7"/>
    <w:rsid w:val="00DF7348"/>
    <w:rsid w:val="00E24FBF"/>
    <w:rsid w:val="00E26FA0"/>
    <w:rsid w:val="00E87E7A"/>
    <w:rsid w:val="00E951C3"/>
    <w:rsid w:val="00EB1977"/>
    <w:rsid w:val="00EB525F"/>
    <w:rsid w:val="00EC1156"/>
    <w:rsid w:val="00EC2DF9"/>
    <w:rsid w:val="00EE20F8"/>
    <w:rsid w:val="00EF4557"/>
    <w:rsid w:val="00F02428"/>
    <w:rsid w:val="00F3259A"/>
    <w:rsid w:val="00F47CE8"/>
    <w:rsid w:val="00F66B38"/>
    <w:rsid w:val="00F70B7E"/>
    <w:rsid w:val="00F776D8"/>
    <w:rsid w:val="00F95D98"/>
    <w:rsid w:val="00FC2579"/>
    <w:rsid w:val="00FE5635"/>
    <w:rsid w:val="00FF1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285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locked/>
    <w:rsid w:val="00FC2579"/>
    <w:rPr>
      <w:rFonts w:ascii="Calibri" w:hAnsi="Calibri" w:cs="Calibri"/>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2579"/>
    <w:pPr>
      <w:spacing w:after="0" w:line="240" w:lineRule="auto"/>
      <w:ind w:left="720"/>
    </w:pPr>
    <w:rPr>
      <w:rFonts w:ascii="Calibri" w:hAnsi="Calibri" w:cs="Calibri"/>
    </w:rPr>
  </w:style>
  <w:style w:type="character" w:customStyle="1" w:styleId="Heading2Char">
    <w:name w:val="Heading 2 Char"/>
    <w:basedOn w:val="DefaultParagraphFont"/>
    <w:link w:val="Heading2"/>
    <w:uiPriority w:val="9"/>
    <w:rsid w:val="002854FD"/>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semiHidden/>
    <w:qFormat/>
    <w:rsid w:val="00B54C05"/>
    <w:pPr>
      <w:spacing w:after="18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B54C05"/>
    <w:rPr>
      <w:rFonts w:ascii="Times New Roman" w:eastAsia="Times New Roman" w:hAnsi="Times New Roman" w:cs="Times New Roman"/>
      <w:kern w:val="0"/>
      <w:sz w:val="20"/>
      <w:szCs w:val="20"/>
      <w14:ligatures w14:val="none"/>
    </w:rPr>
  </w:style>
  <w:style w:type="table" w:styleId="TableGrid">
    <w:name w:val="Table Grid"/>
    <w:aliases w:val="TableGrid"/>
    <w:basedOn w:val="TableNormal"/>
    <w:uiPriority w:val="39"/>
    <w:qFormat/>
    <w:rsid w:val="00B54C05"/>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B54C05"/>
    <w:rPr>
      <w:sz w:val="16"/>
    </w:rPr>
  </w:style>
  <w:style w:type="paragraph" w:customStyle="1" w:styleId="TAH">
    <w:name w:val="TAH"/>
    <w:basedOn w:val="Normal"/>
    <w:link w:val="TAHCar"/>
    <w:uiPriority w:val="99"/>
    <w:qFormat/>
    <w:rsid w:val="00B54C05"/>
    <w:pPr>
      <w:keepNext/>
      <w:keepLines/>
      <w:spacing w:after="0" w:line="240" w:lineRule="auto"/>
      <w:jc w:val="center"/>
    </w:pPr>
    <w:rPr>
      <w:rFonts w:ascii="Arial" w:eastAsia="Times New Roman" w:hAnsi="Arial" w:cs="Times New Roman"/>
      <w:b/>
      <w:kern w:val="0"/>
      <w:sz w:val="18"/>
      <w:szCs w:val="20"/>
      <w14:ligatures w14:val="none"/>
    </w:rPr>
  </w:style>
  <w:style w:type="paragraph" w:customStyle="1" w:styleId="TH">
    <w:name w:val="TH"/>
    <w:basedOn w:val="Normal"/>
    <w:link w:val="THChar"/>
    <w:qFormat/>
    <w:rsid w:val="00B54C05"/>
    <w:pPr>
      <w:keepNext/>
      <w:keepLines/>
      <w:spacing w:before="60" w:after="180" w:line="240" w:lineRule="auto"/>
      <w:jc w:val="center"/>
    </w:pPr>
    <w:rPr>
      <w:rFonts w:ascii="Arial" w:eastAsia="Times New Roman" w:hAnsi="Arial" w:cs="Times New Roman"/>
      <w:b/>
      <w:kern w:val="0"/>
      <w:sz w:val="20"/>
      <w:szCs w:val="20"/>
      <w14:ligatures w14:val="none"/>
    </w:rPr>
  </w:style>
  <w:style w:type="paragraph" w:customStyle="1" w:styleId="TAN">
    <w:name w:val="TAN"/>
    <w:basedOn w:val="Normal"/>
    <w:link w:val="TANChar"/>
    <w:qFormat/>
    <w:rsid w:val="00B54C05"/>
    <w:pPr>
      <w:keepNext/>
      <w:keepLines/>
      <w:spacing w:after="0" w:line="240" w:lineRule="auto"/>
      <w:ind w:left="851" w:hanging="851"/>
    </w:pPr>
    <w:rPr>
      <w:rFonts w:ascii="Arial" w:eastAsia="Times New Roman" w:hAnsi="Arial" w:cs="Times New Roman"/>
      <w:kern w:val="0"/>
      <w:sz w:val="18"/>
      <w:szCs w:val="20"/>
      <w14:ligatures w14:val="none"/>
    </w:rPr>
  </w:style>
  <w:style w:type="character" w:customStyle="1" w:styleId="TAHCar">
    <w:name w:val="TAH Car"/>
    <w:link w:val="TAH"/>
    <w:uiPriority w:val="99"/>
    <w:qFormat/>
    <w:rsid w:val="00B54C05"/>
    <w:rPr>
      <w:rFonts w:ascii="Arial" w:eastAsia="Times New Roman" w:hAnsi="Arial" w:cs="Times New Roman"/>
      <w:b/>
      <w:kern w:val="0"/>
      <w:sz w:val="18"/>
      <w:szCs w:val="20"/>
      <w14:ligatures w14:val="none"/>
    </w:rPr>
  </w:style>
  <w:style w:type="character" w:customStyle="1" w:styleId="THChar">
    <w:name w:val="TH Char"/>
    <w:link w:val="TH"/>
    <w:qFormat/>
    <w:rsid w:val="00B54C05"/>
    <w:rPr>
      <w:rFonts w:ascii="Arial" w:eastAsia="Times New Roman" w:hAnsi="Arial" w:cs="Times New Roman"/>
      <w:b/>
      <w:kern w:val="0"/>
      <w:sz w:val="20"/>
      <w:szCs w:val="20"/>
      <w14:ligatures w14:val="none"/>
    </w:rPr>
  </w:style>
  <w:style w:type="character" w:customStyle="1" w:styleId="TANChar">
    <w:name w:val="TAN Char"/>
    <w:link w:val="TAN"/>
    <w:qFormat/>
    <w:rsid w:val="00B54C05"/>
    <w:rPr>
      <w:rFonts w:ascii="Arial" w:eastAsia="Times New Roman" w:hAnsi="Arial" w:cs="Times New Roman"/>
      <w:kern w:val="0"/>
      <w:sz w:val="18"/>
      <w:szCs w:val="20"/>
      <w14:ligatures w14:val="none"/>
    </w:rPr>
  </w:style>
  <w:style w:type="paragraph" w:styleId="CommentSubject">
    <w:name w:val="annotation subject"/>
    <w:basedOn w:val="CommentText"/>
    <w:next w:val="CommentText"/>
    <w:link w:val="CommentSubjectChar"/>
    <w:uiPriority w:val="99"/>
    <w:semiHidden/>
    <w:unhideWhenUsed/>
    <w:rsid w:val="0014694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146942"/>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57176">
      <w:bodyDiv w:val="1"/>
      <w:marLeft w:val="0"/>
      <w:marRight w:val="0"/>
      <w:marTop w:val="0"/>
      <w:marBottom w:val="0"/>
      <w:divBdr>
        <w:top w:val="none" w:sz="0" w:space="0" w:color="auto"/>
        <w:left w:val="none" w:sz="0" w:space="0" w:color="auto"/>
        <w:bottom w:val="none" w:sz="0" w:space="0" w:color="auto"/>
        <w:right w:val="none" w:sz="0" w:space="0" w:color="auto"/>
      </w:divBdr>
    </w:div>
    <w:div w:id="1122923595">
      <w:bodyDiv w:val="1"/>
      <w:marLeft w:val="0"/>
      <w:marRight w:val="0"/>
      <w:marTop w:val="0"/>
      <w:marBottom w:val="0"/>
      <w:divBdr>
        <w:top w:val="none" w:sz="0" w:space="0" w:color="auto"/>
        <w:left w:val="none" w:sz="0" w:space="0" w:color="auto"/>
        <w:bottom w:val="none" w:sz="0" w:space="0" w:color="auto"/>
        <w:right w:val="none" w:sz="0" w:space="0" w:color="auto"/>
      </w:divBdr>
      <w:divsChild>
        <w:div w:id="1464229085">
          <w:marLeft w:val="274"/>
          <w:marRight w:val="0"/>
          <w:marTop w:val="0"/>
          <w:marBottom w:val="0"/>
          <w:divBdr>
            <w:top w:val="none" w:sz="0" w:space="0" w:color="auto"/>
            <w:left w:val="none" w:sz="0" w:space="0" w:color="auto"/>
            <w:bottom w:val="none" w:sz="0" w:space="0" w:color="auto"/>
            <w:right w:val="none" w:sz="0" w:space="0" w:color="auto"/>
          </w:divBdr>
        </w:div>
        <w:div w:id="1654720419">
          <w:marLeft w:val="274"/>
          <w:marRight w:val="0"/>
          <w:marTop w:val="0"/>
          <w:marBottom w:val="0"/>
          <w:divBdr>
            <w:top w:val="none" w:sz="0" w:space="0" w:color="auto"/>
            <w:left w:val="none" w:sz="0" w:space="0" w:color="auto"/>
            <w:bottom w:val="none" w:sz="0" w:space="0" w:color="auto"/>
            <w:right w:val="none" w:sz="0" w:space="0" w:color="auto"/>
          </w:divBdr>
        </w:div>
        <w:div w:id="1429084199">
          <w:marLeft w:val="274"/>
          <w:marRight w:val="0"/>
          <w:marTop w:val="0"/>
          <w:marBottom w:val="0"/>
          <w:divBdr>
            <w:top w:val="none" w:sz="0" w:space="0" w:color="auto"/>
            <w:left w:val="none" w:sz="0" w:space="0" w:color="auto"/>
            <w:bottom w:val="none" w:sz="0" w:space="0" w:color="auto"/>
            <w:right w:val="none" w:sz="0" w:space="0" w:color="auto"/>
          </w:divBdr>
        </w:div>
        <w:div w:id="545945864">
          <w:marLeft w:val="274"/>
          <w:marRight w:val="0"/>
          <w:marTop w:val="0"/>
          <w:marBottom w:val="0"/>
          <w:divBdr>
            <w:top w:val="none" w:sz="0" w:space="0" w:color="auto"/>
            <w:left w:val="none" w:sz="0" w:space="0" w:color="auto"/>
            <w:bottom w:val="none" w:sz="0" w:space="0" w:color="auto"/>
            <w:right w:val="none" w:sz="0" w:space="0" w:color="auto"/>
          </w:divBdr>
        </w:div>
      </w:divsChild>
    </w:div>
    <w:div w:id="1226572399">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362A1-FC70-44DF-BBFF-086CAB2D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D291D-192D-4F31-A0AB-BA87C9CC2091}">
  <ds:schemaRefs>
    <ds:schemaRef ds:uri="http://schemas.microsoft.com/office/2006/metadata/properties"/>
    <ds:schemaRef ds:uri="http://schemas.microsoft.com/office/infopath/2007/PartnerControls"/>
    <ds:schemaRef ds:uri="d1d45ca0-6321-41b5-a840-73d5e75af7cf"/>
  </ds:schemaRefs>
</ds:datastoreItem>
</file>

<file path=customXml/itemProps3.xml><?xml version="1.0" encoding="utf-8"?>
<ds:datastoreItem xmlns:ds="http://schemas.openxmlformats.org/officeDocument/2006/customXml" ds:itemID="{A4C02FBF-ADC0-4DD6-AC1F-7EF14C3A1AC5}">
  <ds:schemaRefs>
    <ds:schemaRef ds:uri="http://schemas.openxmlformats.org/officeDocument/2006/bibliography"/>
  </ds:schemaRefs>
</ds:datastoreItem>
</file>

<file path=customXml/itemProps4.xml><?xml version="1.0" encoding="utf-8"?>
<ds:datastoreItem xmlns:ds="http://schemas.openxmlformats.org/officeDocument/2006/customXml" ds:itemID="{32FECBE9-C1D3-4BFE-A541-7357F30B7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Moray Rumney</cp:lastModifiedBy>
  <cp:revision>5</cp:revision>
  <dcterms:created xsi:type="dcterms:W3CDTF">2024-08-09T14:17:00Z</dcterms:created>
  <dcterms:modified xsi:type="dcterms:W3CDTF">2024-08-09T17:44:00Z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